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C34C9F">
        <w:rPr>
          <w:rFonts w:ascii="MiloOT-Medi" w:hAnsi="MiloOT-Medi" w:cstheme="minorHAnsi"/>
          <w:color w:val="00AB96"/>
          <w:sz w:val="16"/>
          <w:szCs w:val="16"/>
        </w:rPr>
      </w:r>
      <w:r w:rsidR="00C34C9F">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C34C9F">
        <w:rPr>
          <w:rFonts w:ascii="MiloOT-Medi" w:hAnsi="MiloOT-Medi"/>
          <w:color w:val="002F5D"/>
          <w:sz w:val="16"/>
          <w:szCs w:val="16"/>
        </w:rPr>
      </w:r>
      <w:r w:rsidR="00C34C9F">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3"/>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C34C9F">
        <w:rPr>
          <w:rFonts w:ascii="MiloOT-Light" w:hAnsi="MiloOT-Light"/>
          <w:color w:val="002F5D"/>
          <w:sz w:val="16"/>
          <w:szCs w:val="16"/>
        </w:rPr>
      </w:r>
      <w:r w:rsidR="00C34C9F">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3"/>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C34C9F">
        <w:rPr>
          <w:rFonts w:ascii="MiloOT-Light" w:hAnsi="MiloOT-Light"/>
          <w:color w:val="002F5D"/>
          <w:sz w:val="16"/>
          <w:szCs w:val="16"/>
        </w:rPr>
      </w:r>
      <w:r w:rsidR="00C34C9F">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C34C9F">
        <w:rPr>
          <w:rFonts w:ascii="MiloOT-Light" w:hAnsi="MiloOT-Light"/>
          <w:color w:val="002F5D"/>
          <w:sz w:val="16"/>
          <w:szCs w:val="16"/>
        </w:rPr>
      </w:r>
      <w:r w:rsidR="00C34C9F">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C34C9F">
        <w:rPr>
          <w:rFonts w:ascii="MiloOT-Light" w:hAnsi="MiloOT-Light"/>
          <w:color w:val="002F5D"/>
          <w:sz w:val="16"/>
          <w:szCs w:val="16"/>
        </w:rPr>
      </w:r>
      <w:r w:rsidR="00C34C9F">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rsidR="00567C1E" w:rsidRDefault="00B104A7"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rsidR="001B3813" w:rsidRPr="00517BAC" w:rsidRDefault="00B104A7"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E949B5" w:rsidRDefault="00DD75CD" w:rsidP="00DD75CD">
      <w:pPr>
        <w:rPr>
          <w:rFonts w:ascii="MiloOT-Medi" w:hAnsi="MiloOT-Medi"/>
          <w:noProof/>
          <w:sz w:val="40"/>
          <w:szCs w:val="40"/>
        </w:rPr>
      </w:pP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t>Pressemeldung</w:t>
      </w:r>
    </w:p>
    <w:p w:rsidR="00567C1E" w:rsidRDefault="00567C1E" w:rsidP="00567C1E">
      <w:pPr>
        <w:rPr>
          <w:rFonts w:ascii="MiloOT-Medi" w:hAnsi="MiloOT-Medi"/>
          <w:b/>
          <w:sz w:val="16"/>
          <w:szCs w:val="16"/>
        </w:rPr>
      </w:pP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B104A7" w:rsidP="00DD75CD">
      <w:pPr>
        <w:spacing w:after="120" w:line="280" w:lineRule="exact"/>
        <w:ind w:right="-29"/>
        <w:rPr>
          <w:sz w:val="21"/>
          <w:szCs w:val="21"/>
        </w:rPr>
      </w:pPr>
      <w:r>
        <w:rPr>
          <w:sz w:val="21"/>
          <w:szCs w:val="21"/>
        </w:rPr>
        <w:lastRenderedPageBreak/>
        <w:t>Frankfurt/Main</w:t>
      </w:r>
    </w:p>
    <w:p w:rsidR="00DD75CD" w:rsidRPr="00581D16" w:rsidRDefault="005038FC" w:rsidP="00DD75CD">
      <w:pPr>
        <w:spacing w:after="120" w:line="280" w:lineRule="exact"/>
        <w:ind w:right="-29"/>
        <w:rPr>
          <w:noProof/>
          <w:sz w:val="21"/>
          <w:szCs w:val="21"/>
        </w:rPr>
      </w:pPr>
      <w:r>
        <w:rPr>
          <w:sz w:val="21"/>
          <w:szCs w:val="21"/>
        </w:rPr>
        <w:t>3. Februar 2023</w:t>
      </w:r>
    </w:p>
    <w:p w:rsidR="00567C1E" w:rsidRDefault="00567C1E" w:rsidP="00567C1E">
      <w:pPr>
        <w:rPr>
          <w:b/>
        </w:rPr>
      </w:pPr>
    </w:p>
    <w:p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rsidR="00DD75CD" w:rsidRPr="00BC3231" w:rsidRDefault="00B104A7" w:rsidP="00DD75CD">
      <w:pPr>
        <w:spacing w:after="120" w:line="300" w:lineRule="exact"/>
        <w:ind w:right="-28"/>
        <w:rPr>
          <w:b/>
          <w:sz w:val="24"/>
          <w:szCs w:val="21"/>
        </w:rPr>
      </w:pPr>
      <w:bookmarkStart w:id="4" w:name="Anschrift"/>
      <w:bookmarkEnd w:id="4"/>
      <w:r>
        <w:rPr>
          <w:b/>
          <w:sz w:val="24"/>
          <w:szCs w:val="21"/>
        </w:rPr>
        <w:lastRenderedPageBreak/>
        <w:t>Starkes nominales Wachstum in der GPK-Branche über alle Bereiche hinweg</w:t>
      </w:r>
    </w:p>
    <w:p w:rsidR="00DD75CD" w:rsidRPr="00F71684" w:rsidRDefault="00B104A7" w:rsidP="00F71684">
      <w:pPr>
        <w:spacing w:after="240" w:line="300" w:lineRule="exact"/>
        <w:ind w:right="-28"/>
        <w:rPr>
          <w:b/>
          <w:sz w:val="21"/>
          <w:szCs w:val="21"/>
        </w:rPr>
      </w:pPr>
      <w:r>
        <w:rPr>
          <w:b/>
          <w:sz w:val="21"/>
          <w:szCs w:val="21"/>
        </w:rPr>
        <w:t>Gedeckter Tisch löst Küchenutensilien als Wachstumstreiber ab</w:t>
      </w:r>
    </w:p>
    <w:p w:rsidR="00B104A7" w:rsidRDefault="00B104A7" w:rsidP="00B104A7">
      <w:pPr>
        <w:spacing w:before="120" w:line="360" w:lineRule="auto"/>
        <w:ind w:right="-28"/>
        <w:jc w:val="both"/>
        <w:rPr>
          <w:sz w:val="21"/>
          <w:szCs w:val="21"/>
        </w:rPr>
      </w:pPr>
      <w:r>
        <w:rPr>
          <w:sz w:val="21"/>
          <w:szCs w:val="21"/>
        </w:rPr>
        <w:t xml:space="preserve">Mit </w:t>
      </w:r>
      <w:r w:rsidRPr="0053721D">
        <w:rPr>
          <w:b/>
          <w:sz w:val="21"/>
          <w:szCs w:val="21"/>
        </w:rPr>
        <w:t>7,65 Milliarden Euro Bruttoumsatz</w:t>
      </w:r>
      <w:r w:rsidRPr="00614A0D">
        <w:rPr>
          <w:sz w:val="21"/>
          <w:szCs w:val="21"/>
        </w:rPr>
        <w:t xml:space="preserve"> </w:t>
      </w:r>
      <w:r>
        <w:rPr>
          <w:sz w:val="21"/>
          <w:szCs w:val="21"/>
        </w:rPr>
        <w:t xml:space="preserve">liegt </w:t>
      </w:r>
      <w:r w:rsidRPr="00614A0D">
        <w:rPr>
          <w:sz w:val="21"/>
          <w:szCs w:val="21"/>
        </w:rPr>
        <w:t>der Gesamtmarkt GPK/</w:t>
      </w:r>
      <w:r>
        <w:rPr>
          <w:sz w:val="21"/>
          <w:szCs w:val="21"/>
        </w:rPr>
        <w:t xml:space="preserve"> </w:t>
      </w:r>
      <w:r w:rsidRPr="00614A0D">
        <w:rPr>
          <w:sz w:val="21"/>
          <w:szCs w:val="21"/>
        </w:rPr>
        <w:t xml:space="preserve">Hausrat </w:t>
      </w:r>
      <w:r>
        <w:rPr>
          <w:sz w:val="21"/>
          <w:szCs w:val="21"/>
        </w:rPr>
        <w:t xml:space="preserve">2022 laut des IFH Köln </w:t>
      </w:r>
      <w:r w:rsidRPr="00614A0D">
        <w:rPr>
          <w:sz w:val="21"/>
          <w:szCs w:val="21"/>
        </w:rPr>
        <w:t xml:space="preserve">auf </w:t>
      </w:r>
      <w:r>
        <w:rPr>
          <w:sz w:val="21"/>
          <w:szCs w:val="21"/>
        </w:rPr>
        <w:t xml:space="preserve">extrem </w:t>
      </w:r>
      <w:r w:rsidRPr="00614A0D">
        <w:rPr>
          <w:sz w:val="21"/>
          <w:szCs w:val="21"/>
        </w:rPr>
        <w:t>hohem Niveau</w:t>
      </w:r>
      <w:r w:rsidRPr="006900A0">
        <w:rPr>
          <w:sz w:val="21"/>
          <w:szCs w:val="21"/>
        </w:rPr>
        <w:t xml:space="preserve">. </w:t>
      </w:r>
      <w:r>
        <w:rPr>
          <w:sz w:val="21"/>
          <w:szCs w:val="21"/>
        </w:rPr>
        <w:t>Somit ist der Ja</w:t>
      </w:r>
      <w:r w:rsidRPr="00481043">
        <w:rPr>
          <w:sz w:val="21"/>
          <w:szCs w:val="21"/>
        </w:rPr>
        <w:t xml:space="preserve">hresumsatz im direkten Vergleich zum Vorjahr um </w:t>
      </w:r>
      <w:r w:rsidRPr="0053721D">
        <w:rPr>
          <w:b/>
          <w:sz w:val="21"/>
          <w:szCs w:val="21"/>
        </w:rPr>
        <w:t>16,2 Prozent</w:t>
      </w:r>
      <w:r w:rsidRPr="00481043">
        <w:rPr>
          <w:sz w:val="21"/>
          <w:szCs w:val="21"/>
        </w:rPr>
        <w:t xml:space="preserve"> gestiegen. Der Gesamtmarkt der </w:t>
      </w:r>
      <w:r w:rsidRPr="0053721D">
        <w:rPr>
          <w:b/>
          <w:sz w:val="21"/>
          <w:szCs w:val="21"/>
        </w:rPr>
        <w:t>Elektro-Kleingeräte</w:t>
      </w:r>
      <w:r w:rsidRPr="00481043">
        <w:rPr>
          <w:sz w:val="21"/>
          <w:szCs w:val="21"/>
        </w:rPr>
        <w:t xml:space="preserve"> hingegen, von dem nur ein Teil der Küchen- und Haushaltsbranche zugerechnet wird, erfährt in den ersten drei Quartalen 2022 mit einem Marktvolumen über </w:t>
      </w:r>
      <w:r w:rsidRPr="0053721D">
        <w:rPr>
          <w:b/>
          <w:sz w:val="21"/>
          <w:szCs w:val="21"/>
        </w:rPr>
        <w:t>4,7 Milliarden Euro</w:t>
      </w:r>
      <w:r w:rsidRPr="00481043">
        <w:rPr>
          <w:sz w:val="21"/>
          <w:szCs w:val="21"/>
        </w:rPr>
        <w:t xml:space="preserve"> ein </w:t>
      </w:r>
      <w:r w:rsidRPr="0053721D">
        <w:rPr>
          <w:b/>
          <w:sz w:val="21"/>
          <w:szCs w:val="21"/>
        </w:rPr>
        <w:t>Umsatzminus von 4,8 Prozent</w:t>
      </w:r>
      <w:r w:rsidRPr="00481043">
        <w:rPr>
          <w:sz w:val="21"/>
          <w:szCs w:val="21"/>
        </w:rPr>
        <w:t xml:space="preserve">. </w:t>
      </w:r>
      <w:r>
        <w:rPr>
          <w:sz w:val="21"/>
          <w:szCs w:val="21"/>
        </w:rPr>
        <w:t xml:space="preserve">Bei genauer Betrachtung ist die Spannbreite der einzelnen Teilmarktentwicklungen im GPK-Bereich gehörig gespreizt: Verlierer ist das </w:t>
      </w:r>
      <w:proofErr w:type="spellStart"/>
      <w:r w:rsidRPr="0053721D">
        <w:rPr>
          <w:b/>
          <w:sz w:val="21"/>
          <w:szCs w:val="21"/>
        </w:rPr>
        <w:t>Tonwarensegement</w:t>
      </w:r>
      <w:proofErr w:type="spellEnd"/>
      <w:r>
        <w:rPr>
          <w:sz w:val="21"/>
          <w:szCs w:val="21"/>
        </w:rPr>
        <w:t xml:space="preserve"> mit </w:t>
      </w:r>
      <w:r w:rsidRPr="0053721D">
        <w:rPr>
          <w:b/>
          <w:sz w:val="21"/>
          <w:szCs w:val="21"/>
        </w:rPr>
        <w:t>minus 40,3 Prozent</w:t>
      </w:r>
      <w:r>
        <w:rPr>
          <w:sz w:val="21"/>
          <w:szCs w:val="21"/>
        </w:rPr>
        <w:t xml:space="preserve">. Demgegenüber steht als starker Kontrast bspw. das Segment </w:t>
      </w:r>
      <w:r w:rsidRPr="0053721D">
        <w:rPr>
          <w:b/>
          <w:sz w:val="21"/>
          <w:szCs w:val="21"/>
        </w:rPr>
        <w:t>Bestecke</w:t>
      </w:r>
      <w:r>
        <w:rPr>
          <w:sz w:val="21"/>
          <w:szCs w:val="21"/>
        </w:rPr>
        <w:t xml:space="preserve"> mit einem </w:t>
      </w:r>
      <w:r w:rsidRPr="0053721D">
        <w:rPr>
          <w:b/>
          <w:sz w:val="21"/>
          <w:szCs w:val="21"/>
        </w:rPr>
        <w:t>Plus über 91,3 Prozent</w:t>
      </w:r>
      <w:r>
        <w:rPr>
          <w:sz w:val="21"/>
          <w:szCs w:val="21"/>
        </w:rPr>
        <w:t xml:space="preserve">. </w:t>
      </w:r>
    </w:p>
    <w:p w:rsidR="00694DBE" w:rsidRPr="00511E03" w:rsidRDefault="00694DBE" w:rsidP="00B104A7">
      <w:pPr>
        <w:spacing w:before="120" w:line="360" w:lineRule="auto"/>
        <w:ind w:right="-28"/>
        <w:jc w:val="both"/>
        <w:rPr>
          <w:sz w:val="21"/>
          <w:szCs w:val="21"/>
        </w:rPr>
      </w:pPr>
      <w:r>
        <w:rPr>
          <w:sz w:val="21"/>
          <w:szCs w:val="21"/>
        </w:rPr>
        <w:t xml:space="preserve">„Ich freue mich sehr, dass wir die 7 Milliarden-Schallmauer durchbrochen haben. Diese positive Umsatzentwicklung unterstreicht einmal mehr die Relevanz der Home- und </w:t>
      </w:r>
      <w:proofErr w:type="spellStart"/>
      <w:r>
        <w:rPr>
          <w:sz w:val="21"/>
          <w:szCs w:val="21"/>
        </w:rPr>
        <w:t>Livingbranche</w:t>
      </w:r>
      <w:proofErr w:type="spellEnd"/>
      <w:r>
        <w:rPr>
          <w:sz w:val="21"/>
          <w:szCs w:val="21"/>
        </w:rPr>
        <w:t xml:space="preserve"> bei den deutschen Verbrauchern. </w:t>
      </w:r>
      <w:r w:rsidR="0047706B">
        <w:rPr>
          <w:sz w:val="21"/>
          <w:szCs w:val="21"/>
        </w:rPr>
        <w:t xml:space="preserve">Es wird deutlich, dass der </w:t>
      </w:r>
      <w:proofErr w:type="spellStart"/>
      <w:r w:rsidR="0047706B">
        <w:rPr>
          <w:sz w:val="21"/>
          <w:szCs w:val="21"/>
        </w:rPr>
        <w:t>Homing</w:t>
      </w:r>
      <w:proofErr w:type="spellEnd"/>
      <w:r w:rsidR="0047706B">
        <w:rPr>
          <w:sz w:val="21"/>
          <w:szCs w:val="21"/>
        </w:rPr>
        <w:t xml:space="preserve">-Trend auch 2022 nicht nachgelassen hat. Design, Qualität, Ästhetik und </w:t>
      </w:r>
      <w:r w:rsidR="005038FC">
        <w:rPr>
          <w:sz w:val="21"/>
          <w:szCs w:val="21"/>
        </w:rPr>
        <w:t>ansprechende</w:t>
      </w:r>
      <w:r w:rsidR="0047706B">
        <w:rPr>
          <w:sz w:val="21"/>
          <w:szCs w:val="21"/>
        </w:rPr>
        <w:t xml:space="preserve"> Tischkultur sind wichtige Attrib</w:t>
      </w:r>
      <w:r w:rsidR="005038FC">
        <w:rPr>
          <w:sz w:val="21"/>
          <w:szCs w:val="21"/>
        </w:rPr>
        <w:t>ute für die Konsumenten</w:t>
      </w:r>
      <w:r w:rsidR="0047706B">
        <w:rPr>
          <w:sz w:val="21"/>
          <w:szCs w:val="21"/>
        </w:rPr>
        <w:t xml:space="preserve">. </w:t>
      </w:r>
      <w:r>
        <w:rPr>
          <w:sz w:val="21"/>
          <w:szCs w:val="21"/>
        </w:rPr>
        <w:t>Gerade in krisengebeutelten Zeiten, bekommt das eigene Zuhause einen noch höheren Stellenwert</w:t>
      </w:r>
      <w:r w:rsidR="0047706B">
        <w:rPr>
          <w:sz w:val="21"/>
          <w:szCs w:val="21"/>
        </w:rPr>
        <w:t>“, erläutert Christina van Dorp, Präsidentin des Handelsverbands Koch- und Tischkultur.</w:t>
      </w:r>
    </w:p>
    <w:p w:rsidR="00B104A7" w:rsidRDefault="00B104A7" w:rsidP="00B104A7">
      <w:pPr>
        <w:spacing w:before="120" w:line="360" w:lineRule="auto"/>
        <w:ind w:right="-28"/>
        <w:jc w:val="both"/>
        <w:rPr>
          <w:sz w:val="21"/>
          <w:szCs w:val="21"/>
        </w:rPr>
      </w:pPr>
      <w:r w:rsidRPr="00C811C9">
        <w:rPr>
          <w:sz w:val="21"/>
          <w:szCs w:val="21"/>
        </w:rPr>
        <w:t xml:space="preserve">Am besten schnitt </w:t>
      </w:r>
      <w:r>
        <w:rPr>
          <w:sz w:val="21"/>
          <w:szCs w:val="21"/>
        </w:rPr>
        <w:t xml:space="preserve">in der Marktbeobachtung des IFH Köln der Bereich </w:t>
      </w:r>
      <w:r w:rsidRPr="0053721D">
        <w:rPr>
          <w:b/>
          <w:sz w:val="21"/>
          <w:szCs w:val="21"/>
        </w:rPr>
        <w:t>„</w:t>
      </w:r>
      <w:proofErr w:type="spellStart"/>
      <w:r w:rsidRPr="0053721D">
        <w:rPr>
          <w:b/>
          <w:sz w:val="21"/>
          <w:szCs w:val="21"/>
        </w:rPr>
        <w:t>Tavola</w:t>
      </w:r>
      <w:proofErr w:type="spellEnd"/>
      <w:r w:rsidRPr="0053721D">
        <w:rPr>
          <w:b/>
          <w:sz w:val="21"/>
          <w:szCs w:val="21"/>
        </w:rPr>
        <w:t>“</w:t>
      </w:r>
      <w:r>
        <w:rPr>
          <w:sz w:val="21"/>
          <w:szCs w:val="21"/>
        </w:rPr>
        <w:t xml:space="preserve"> mit einem hohen </w:t>
      </w:r>
      <w:r w:rsidRPr="0053721D">
        <w:rPr>
          <w:b/>
          <w:sz w:val="21"/>
          <w:szCs w:val="21"/>
        </w:rPr>
        <w:t>Umsatzplus von 28,9 Prozent</w:t>
      </w:r>
      <w:r>
        <w:rPr>
          <w:sz w:val="21"/>
          <w:szCs w:val="21"/>
        </w:rPr>
        <w:t xml:space="preserve"> </w:t>
      </w:r>
      <w:r w:rsidRPr="00663557">
        <w:rPr>
          <w:sz w:val="21"/>
          <w:szCs w:val="21"/>
        </w:rPr>
        <w:t xml:space="preserve">und einem Marktvolumen von </w:t>
      </w:r>
      <w:r w:rsidRPr="0053721D">
        <w:rPr>
          <w:b/>
          <w:sz w:val="21"/>
          <w:szCs w:val="21"/>
        </w:rPr>
        <w:t>1,9 Milliarden Euro</w:t>
      </w:r>
      <w:r w:rsidRPr="00663557">
        <w:rPr>
          <w:sz w:val="21"/>
          <w:szCs w:val="21"/>
        </w:rPr>
        <w:t xml:space="preserve"> </w:t>
      </w:r>
      <w:r>
        <w:rPr>
          <w:sz w:val="21"/>
          <w:szCs w:val="21"/>
        </w:rPr>
        <w:t xml:space="preserve">ab. Hierzu zählen Tafelgeschirr, Besteck und Gläser. </w:t>
      </w:r>
      <w:r w:rsidRPr="0053721D">
        <w:rPr>
          <w:b/>
          <w:sz w:val="21"/>
          <w:szCs w:val="21"/>
        </w:rPr>
        <w:t>„</w:t>
      </w:r>
      <w:proofErr w:type="spellStart"/>
      <w:r w:rsidRPr="0053721D">
        <w:rPr>
          <w:b/>
          <w:sz w:val="21"/>
          <w:szCs w:val="21"/>
        </w:rPr>
        <w:t>Domus</w:t>
      </w:r>
      <w:proofErr w:type="spellEnd"/>
      <w:r w:rsidRPr="0053721D">
        <w:rPr>
          <w:b/>
          <w:sz w:val="21"/>
          <w:szCs w:val="21"/>
        </w:rPr>
        <w:t>“</w:t>
      </w:r>
      <w:r>
        <w:rPr>
          <w:sz w:val="21"/>
          <w:szCs w:val="21"/>
        </w:rPr>
        <w:t xml:space="preserve"> – Wohnaccessoires, Dekoration und Geschenkartikel – folgt ebenfalls mit einem zweistelligen Wachstum über </w:t>
      </w:r>
      <w:r w:rsidRPr="0053721D">
        <w:rPr>
          <w:b/>
          <w:sz w:val="21"/>
          <w:szCs w:val="21"/>
        </w:rPr>
        <w:t>19,6 Prozent</w:t>
      </w:r>
      <w:r>
        <w:rPr>
          <w:sz w:val="21"/>
          <w:szCs w:val="21"/>
        </w:rPr>
        <w:t xml:space="preserve">, was einem Volumen </w:t>
      </w:r>
      <w:r w:rsidRPr="00F449BF">
        <w:rPr>
          <w:sz w:val="21"/>
          <w:szCs w:val="21"/>
        </w:rPr>
        <w:t xml:space="preserve">von </w:t>
      </w:r>
      <w:r w:rsidRPr="0053721D">
        <w:rPr>
          <w:b/>
          <w:sz w:val="21"/>
          <w:szCs w:val="21"/>
        </w:rPr>
        <w:t>2,4 Milliarden Euro</w:t>
      </w:r>
      <w:r>
        <w:rPr>
          <w:sz w:val="21"/>
          <w:szCs w:val="21"/>
        </w:rPr>
        <w:t xml:space="preserve"> entspricht. Lediglich die Nachfrage im Bereich </w:t>
      </w:r>
      <w:r w:rsidRPr="0053721D">
        <w:rPr>
          <w:b/>
          <w:sz w:val="21"/>
          <w:szCs w:val="21"/>
        </w:rPr>
        <w:t>„</w:t>
      </w:r>
      <w:proofErr w:type="spellStart"/>
      <w:r w:rsidRPr="0053721D">
        <w:rPr>
          <w:b/>
          <w:sz w:val="21"/>
          <w:szCs w:val="21"/>
        </w:rPr>
        <w:t>Cucina</w:t>
      </w:r>
      <w:proofErr w:type="spellEnd"/>
      <w:r w:rsidRPr="0053721D">
        <w:rPr>
          <w:b/>
          <w:sz w:val="21"/>
          <w:szCs w:val="21"/>
        </w:rPr>
        <w:t>“</w:t>
      </w:r>
      <w:r>
        <w:rPr>
          <w:sz w:val="21"/>
          <w:szCs w:val="21"/>
        </w:rPr>
        <w:t xml:space="preserve"> – h</w:t>
      </w:r>
      <w:r w:rsidRPr="00FD43D4">
        <w:rPr>
          <w:sz w:val="21"/>
          <w:szCs w:val="21"/>
        </w:rPr>
        <w:t xml:space="preserve">ierzu zählen </w:t>
      </w:r>
      <w:r>
        <w:rPr>
          <w:sz w:val="21"/>
          <w:szCs w:val="21"/>
        </w:rPr>
        <w:t xml:space="preserve">Küchenausstattung, Koch-, Brat- und Backgeschirr – fiel 2022 mit </w:t>
      </w:r>
      <w:r w:rsidRPr="0053721D">
        <w:rPr>
          <w:b/>
          <w:sz w:val="21"/>
          <w:szCs w:val="21"/>
        </w:rPr>
        <w:lastRenderedPageBreak/>
        <w:t>8 Prozent</w:t>
      </w:r>
      <w:r>
        <w:rPr>
          <w:sz w:val="21"/>
          <w:szCs w:val="21"/>
        </w:rPr>
        <w:t xml:space="preserve"> „nur“ einstellig aus. Das Marktvolumen lag in diesem Bereich bei insgesamt </w:t>
      </w:r>
      <w:r w:rsidRPr="0053721D">
        <w:rPr>
          <w:b/>
          <w:sz w:val="21"/>
          <w:szCs w:val="21"/>
        </w:rPr>
        <w:t>3,36 Milliarden Euro</w:t>
      </w:r>
      <w:r>
        <w:rPr>
          <w:sz w:val="21"/>
          <w:szCs w:val="21"/>
        </w:rPr>
        <w:t xml:space="preserve">. </w:t>
      </w:r>
    </w:p>
    <w:p w:rsidR="00E40FF8" w:rsidRDefault="00B104A7" w:rsidP="00B104A7">
      <w:pPr>
        <w:spacing w:before="120" w:line="360" w:lineRule="auto"/>
        <w:ind w:right="-28"/>
        <w:jc w:val="both"/>
        <w:rPr>
          <w:sz w:val="21"/>
          <w:szCs w:val="21"/>
        </w:rPr>
      </w:pPr>
      <w:r>
        <w:rPr>
          <w:sz w:val="21"/>
          <w:szCs w:val="21"/>
        </w:rPr>
        <w:t>Bei genauerer Betrachtung des Segments „</w:t>
      </w:r>
      <w:proofErr w:type="spellStart"/>
      <w:r>
        <w:rPr>
          <w:sz w:val="21"/>
          <w:szCs w:val="21"/>
        </w:rPr>
        <w:t>Tavola</w:t>
      </w:r>
      <w:proofErr w:type="spellEnd"/>
      <w:r>
        <w:rPr>
          <w:sz w:val="21"/>
          <w:szCs w:val="21"/>
        </w:rPr>
        <w:t xml:space="preserve">“ fällt auf, dass gerade die Bereiche Glas, Geschirr und Bestecke hohe Zuwachsraten verzeichnen. Ein Treiber für dieses Wachstum ist einerseits der erhöhte Nachholbedarf der Hotellerie und Gastronomie, die nach dem </w:t>
      </w:r>
      <w:proofErr w:type="spellStart"/>
      <w:r>
        <w:rPr>
          <w:sz w:val="21"/>
          <w:szCs w:val="21"/>
        </w:rPr>
        <w:t>coronabedingten</w:t>
      </w:r>
      <w:proofErr w:type="spellEnd"/>
      <w:r>
        <w:rPr>
          <w:sz w:val="21"/>
          <w:szCs w:val="21"/>
        </w:rPr>
        <w:t xml:space="preserve"> Tief einen hohen Nachholbedarf hatten, andererseits haben viele Verbraucher in hochwertiges Geschirr und Besteck, auch Silberbesteck, investiert. Es wird deutlich,</w:t>
      </w:r>
      <w:r w:rsidR="006700BE">
        <w:rPr>
          <w:sz w:val="21"/>
          <w:szCs w:val="21"/>
        </w:rPr>
        <w:t xml:space="preserve"> dass die Tischkultur in den eigenen</w:t>
      </w:r>
      <w:r>
        <w:rPr>
          <w:sz w:val="21"/>
          <w:szCs w:val="21"/>
        </w:rPr>
        <w:t xml:space="preserve"> vier Wänden der deutschen Verbraucher nach wie vor einen hohen Stellenwert hat. Im Bereich „</w:t>
      </w:r>
      <w:proofErr w:type="spellStart"/>
      <w:r>
        <w:rPr>
          <w:sz w:val="21"/>
          <w:szCs w:val="21"/>
        </w:rPr>
        <w:t>Cucina</w:t>
      </w:r>
      <w:proofErr w:type="spellEnd"/>
      <w:r>
        <w:rPr>
          <w:sz w:val="21"/>
          <w:szCs w:val="21"/>
        </w:rPr>
        <w:t>“ setzt sich die Erfolgsstory weiterhin fort. Kochevents daheim, private Zusammenkünfte sowie gesunde und nachhalti</w:t>
      </w:r>
      <w:r w:rsidR="00E40FF8">
        <w:rPr>
          <w:sz w:val="21"/>
          <w:szCs w:val="21"/>
        </w:rPr>
        <w:t>ge Ernährung stehen weiterhin</w:t>
      </w:r>
      <w:r>
        <w:rPr>
          <w:sz w:val="21"/>
          <w:szCs w:val="21"/>
        </w:rPr>
        <w:t xml:space="preserve"> im Fokus der Verbraucher. Die Nachfrage nach Zubehör für das </w:t>
      </w:r>
      <w:r w:rsidR="00E40FF8">
        <w:rPr>
          <w:sz w:val="21"/>
          <w:szCs w:val="21"/>
        </w:rPr>
        <w:t xml:space="preserve">Kochen und Backen ist </w:t>
      </w:r>
      <w:r>
        <w:rPr>
          <w:sz w:val="21"/>
          <w:szCs w:val="21"/>
        </w:rPr>
        <w:t xml:space="preserve">ungebremst. </w:t>
      </w:r>
    </w:p>
    <w:p w:rsidR="00B104A7" w:rsidRDefault="00B104A7" w:rsidP="00B104A7">
      <w:pPr>
        <w:spacing w:before="120" w:line="360" w:lineRule="auto"/>
        <w:ind w:right="-28"/>
        <w:jc w:val="both"/>
        <w:rPr>
          <w:sz w:val="21"/>
          <w:szCs w:val="21"/>
        </w:rPr>
      </w:pPr>
      <w:r>
        <w:rPr>
          <w:sz w:val="21"/>
          <w:szCs w:val="21"/>
        </w:rPr>
        <w:t>Auch das zweistellige Wachstum über 19,6 Prozent im „</w:t>
      </w:r>
      <w:proofErr w:type="spellStart"/>
      <w:r>
        <w:rPr>
          <w:sz w:val="21"/>
          <w:szCs w:val="21"/>
        </w:rPr>
        <w:t>Domus</w:t>
      </w:r>
      <w:proofErr w:type="spellEnd"/>
      <w:r>
        <w:rPr>
          <w:sz w:val="21"/>
          <w:szCs w:val="21"/>
        </w:rPr>
        <w:t xml:space="preserve">“-Segment macht sehr deutlich, dass der </w:t>
      </w:r>
      <w:proofErr w:type="spellStart"/>
      <w:r>
        <w:rPr>
          <w:sz w:val="21"/>
          <w:szCs w:val="21"/>
        </w:rPr>
        <w:t>Homing</w:t>
      </w:r>
      <w:proofErr w:type="spellEnd"/>
      <w:r>
        <w:rPr>
          <w:sz w:val="21"/>
          <w:szCs w:val="21"/>
        </w:rPr>
        <w:t xml:space="preserve">-Effekt sich nach 2021 auch durch das gesamte vergangene Jahr gezogen hat. Auch in diesem Jahr wird dieser Effekt, zwar nicht mehr in der gewohnten Intensität der </w:t>
      </w:r>
      <w:proofErr w:type="spellStart"/>
      <w:r>
        <w:rPr>
          <w:sz w:val="21"/>
          <w:szCs w:val="21"/>
        </w:rPr>
        <w:t>Coronajahre</w:t>
      </w:r>
      <w:proofErr w:type="spellEnd"/>
      <w:r>
        <w:rPr>
          <w:sz w:val="21"/>
          <w:szCs w:val="21"/>
        </w:rPr>
        <w:t xml:space="preserve">, nachwirken. Gerade Wohn-, Deko- und Designartikel waren im letzten Jahr beim Konsumenten gefragt. Nach einem moderaten Wachstum im Bereich </w:t>
      </w:r>
      <w:r w:rsidRPr="0053721D">
        <w:rPr>
          <w:b/>
          <w:sz w:val="21"/>
          <w:szCs w:val="21"/>
        </w:rPr>
        <w:t>„Ziergegenstände/ Geschenkartikel“</w:t>
      </w:r>
      <w:r>
        <w:rPr>
          <w:sz w:val="21"/>
          <w:szCs w:val="21"/>
        </w:rPr>
        <w:t xml:space="preserve"> über 2,6 Prozent im Jahr 2021, erhöhte sich dieses im letzten Jahr um </w:t>
      </w:r>
      <w:r w:rsidRPr="0053721D">
        <w:rPr>
          <w:b/>
          <w:sz w:val="21"/>
          <w:szCs w:val="21"/>
        </w:rPr>
        <w:t>19 Prozent</w:t>
      </w:r>
      <w:r>
        <w:rPr>
          <w:sz w:val="21"/>
          <w:szCs w:val="21"/>
        </w:rPr>
        <w:t xml:space="preserve"> auf ein Marktvolumen über </w:t>
      </w:r>
      <w:r w:rsidRPr="0053721D">
        <w:rPr>
          <w:b/>
          <w:sz w:val="21"/>
          <w:szCs w:val="21"/>
        </w:rPr>
        <w:t>2,2 Milliarden Euro</w:t>
      </w:r>
      <w:r>
        <w:rPr>
          <w:sz w:val="21"/>
          <w:szCs w:val="21"/>
        </w:rPr>
        <w:t>. Die Entwicklung lässt sich unter anderem auch auf eine stärkere Nachfrage bei Weihnachtsartikeln zurückführen.</w:t>
      </w:r>
    </w:p>
    <w:p w:rsidR="00B104A7" w:rsidRDefault="00B104A7" w:rsidP="00B104A7">
      <w:pPr>
        <w:spacing w:before="120" w:line="360" w:lineRule="auto"/>
        <w:ind w:right="-28"/>
        <w:jc w:val="both"/>
        <w:rPr>
          <w:sz w:val="21"/>
          <w:szCs w:val="21"/>
        </w:rPr>
      </w:pPr>
      <w:r w:rsidRPr="005078E0">
        <w:rPr>
          <w:sz w:val="21"/>
          <w:szCs w:val="21"/>
        </w:rPr>
        <w:t>Das Marktvolumen der Elektro-Kleingeräte hat</w:t>
      </w:r>
      <w:r>
        <w:rPr>
          <w:sz w:val="21"/>
          <w:szCs w:val="21"/>
        </w:rPr>
        <w:t xml:space="preserve"> laut </w:t>
      </w:r>
      <w:proofErr w:type="spellStart"/>
      <w:r>
        <w:rPr>
          <w:sz w:val="21"/>
          <w:szCs w:val="21"/>
        </w:rPr>
        <w:t>Hemix</w:t>
      </w:r>
      <w:proofErr w:type="spellEnd"/>
      <w:r>
        <w:rPr>
          <w:sz w:val="21"/>
          <w:szCs w:val="21"/>
        </w:rPr>
        <w:t xml:space="preserve"> nach zwei stärkeren</w:t>
      </w:r>
      <w:r w:rsidRPr="005078E0">
        <w:rPr>
          <w:sz w:val="21"/>
          <w:szCs w:val="21"/>
        </w:rPr>
        <w:t xml:space="preserve"> Jahren in Folge mit eine</w:t>
      </w:r>
      <w:r>
        <w:rPr>
          <w:sz w:val="21"/>
          <w:szCs w:val="21"/>
        </w:rPr>
        <w:t xml:space="preserve">m Umsatzminus von 4,8 Prozent in den ersten drei Quartalen 2022 nachgelassen. Einerseits hat </w:t>
      </w:r>
      <w:r w:rsidR="002353D5">
        <w:rPr>
          <w:sz w:val="21"/>
          <w:szCs w:val="21"/>
        </w:rPr>
        <w:t xml:space="preserve">es </w:t>
      </w:r>
      <w:r>
        <w:rPr>
          <w:sz w:val="21"/>
          <w:szCs w:val="21"/>
        </w:rPr>
        <w:t>nach den stärkeren letzten Jahren eine Marktsättigung bei Küchenmaschinen und Kaffeeautomaten gegeben, andererseits ist die generelle Konsumumstimmung in der Bevölkerung durch die Auswirkungen des Ukraine-Krieges, Kostenexplosionen bei Energie und steigende Lebenshaltungskosten auf einem niedrigen S</w:t>
      </w:r>
      <w:r w:rsidR="00E40FF8">
        <w:rPr>
          <w:sz w:val="21"/>
          <w:szCs w:val="21"/>
        </w:rPr>
        <w:t>tand, sodass höhere Ausgaben</w:t>
      </w:r>
      <w:r>
        <w:rPr>
          <w:sz w:val="21"/>
          <w:szCs w:val="21"/>
        </w:rPr>
        <w:t xml:space="preserve"> wohl überlegt werden. Die Verunsicherung in der Bevölkerung ist hoch. Je nach Einkommensklasse bekommen die Verbraucher die Folgen der Inflation unmittelbar oder zeitlich verzögert zu spüren. Es sc</w:t>
      </w:r>
      <w:r w:rsidR="00F87F02">
        <w:rPr>
          <w:sz w:val="21"/>
          <w:szCs w:val="21"/>
        </w:rPr>
        <w:t xml:space="preserve">heint, als ob niemand vor </w:t>
      </w:r>
      <w:r>
        <w:rPr>
          <w:sz w:val="21"/>
          <w:szCs w:val="21"/>
        </w:rPr>
        <w:t>a</w:t>
      </w:r>
      <w:r w:rsidR="00C34C9F">
        <w:rPr>
          <w:sz w:val="21"/>
          <w:szCs w:val="21"/>
        </w:rPr>
        <w:t>ußerordentlichen Ausgaben gefei</w:t>
      </w:r>
      <w:r>
        <w:rPr>
          <w:sz w:val="21"/>
          <w:szCs w:val="21"/>
        </w:rPr>
        <w:t xml:space="preserve">t ist. </w:t>
      </w:r>
      <w:r>
        <w:rPr>
          <w:sz w:val="21"/>
          <w:szCs w:val="21"/>
        </w:rPr>
        <w:lastRenderedPageBreak/>
        <w:t>Verstärkt wird die schwache Konsumstimmung durch die „gefühlt“ permanent negative Nachrichtenlage</w:t>
      </w:r>
      <w:r w:rsidR="00E40FF8">
        <w:rPr>
          <w:sz w:val="21"/>
          <w:szCs w:val="21"/>
        </w:rPr>
        <w:t xml:space="preserve"> in den Medien</w:t>
      </w:r>
      <w:r>
        <w:rPr>
          <w:sz w:val="21"/>
          <w:szCs w:val="21"/>
        </w:rPr>
        <w:t xml:space="preserve">. </w:t>
      </w:r>
    </w:p>
    <w:p w:rsidR="00B104A7" w:rsidRPr="00DB1BF3" w:rsidRDefault="00B104A7" w:rsidP="00B104A7">
      <w:pPr>
        <w:spacing w:before="120" w:line="360" w:lineRule="auto"/>
        <w:ind w:right="-28"/>
        <w:jc w:val="both"/>
        <w:rPr>
          <w:b/>
          <w:sz w:val="21"/>
          <w:szCs w:val="21"/>
        </w:rPr>
      </w:pPr>
      <w:r w:rsidRPr="00DB1BF3">
        <w:rPr>
          <w:b/>
          <w:sz w:val="21"/>
          <w:szCs w:val="21"/>
        </w:rPr>
        <w:t>Fachhand</w:t>
      </w:r>
      <w:r>
        <w:rPr>
          <w:b/>
          <w:sz w:val="21"/>
          <w:szCs w:val="21"/>
        </w:rPr>
        <w:t>el ist nach wie vor</w:t>
      </w:r>
      <w:r w:rsidRPr="00DB1BF3">
        <w:rPr>
          <w:b/>
          <w:sz w:val="21"/>
          <w:szCs w:val="21"/>
        </w:rPr>
        <w:t xml:space="preserve"> </w:t>
      </w:r>
      <w:r>
        <w:rPr>
          <w:b/>
          <w:sz w:val="21"/>
          <w:szCs w:val="21"/>
        </w:rPr>
        <w:t>die</w:t>
      </w:r>
      <w:r w:rsidRPr="00DB1BF3">
        <w:rPr>
          <w:b/>
          <w:sz w:val="21"/>
          <w:szCs w:val="21"/>
        </w:rPr>
        <w:t xml:space="preserve"> </w:t>
      </w:r>
      <w:r>
        <w:rPr>
          <w:b/>
          <w:sz w:val="21"/>
          <w:szCs w:val="21"/>
        </w:rPr>
        <w:t xml:space="preserve">Nummer 1 </w:t>
      </w:r>
      <w:r w:rsidRPr="00DB1BF3">
        <w:rPr>
          <w:b/>
          <w:sz w:val="21"/>
          <w:szCs w:val="21"/>
        </w:rPr>
        <w:t>für GPK/Hausrat</w:t>
      </w:r>
    </w:p>
    <w:p w:rsidR="00B104A7" w:rsidRDefault="00B104A7" w:rsidP="00B104A7">
      <w:pPr>
        <w:spacing w:before="200" w:line="360" w:lineRule="auto"/>
        <w:ind w:right="-28"/>
        <w:jc w:val="both"/>
        <w:rPr>
          <w:sz w:val="21"/>
          <w:szCs w:val="21"/>
        </w:rPr>
      </w:pPr>
      <w:r w:rsidRPr="008B785B">
        <w:rPr>
          <w:sz w:val="21"/>
          <w:szCs w:val="21"/>
        </w:rPr>
        <w:t>Als Indikator für den Besuch der Ein</w:t>
      </w:r>
      <w:r>
        <w:rPr>
          <w:sz w:val="21"/>
          <w:szCs w:val="21"/>
        </w:rPr>
        <w:t>zelhandelsgeschäfte vor Ort wird</w:t>
      </w:r>
      <w:r w:rsidRPr="008B785B">
        <w:rPr>
          <w:sz w:val="21"/>
          <w:szCs w:val="21"/>
        </w:rPr>
        <w:t xml:space="preserve"> die </w:t>
      </w:r>
      <w:proofErr w:type="spellStart"/>
      <w:r w:rsidRPr="0053721D">
        <w:rPr>
          <w:b/>
          <w:sz w:val="21"/>
          <w:szCs w:val="21"/>
        </w:rPr>
        <w:t>Passantenfrequenz</w:t>
      </w:r>
      <w:proofErr w:type="spellEnd"/>
      <w:r w:rsidRPr="008B785B">
        <w:rPr>
          <w:sz w:val="21"/>
          <w:szCs w:val="21"/>
        </w:rPr>
        <w:t xml:space="preserve"> in den Innenstäd</w:t>
      </w:r>
      <w:bookmarkStart w:id="5" w:name="_GoBack"/>
      <w:bookmarkEnd w:id="5"/>
      <w:r w:rsidRPr="008B785B">
        <w:rPr>
          <w:sz w:val="21"/>
          <w:szCs w:val="21"/>
        </w:rPr>
        <w:t xml:space="preserve">ten genutzt. Diese ist nach verschiedenen pandemiebedingten Einbrüchen in den Jahren 2020 und 2021 im vergangenen Jahr, vor allem im letzten Quartal, wieder gestiegen. So waren laut Daten des Unternehmens hystreet.com im Oktober 2022 durchschnittlich </w:t>
      </w:r>
      <w:r w:rsidRPr="0053721D">
        <w:rPr>
          <w:b/>
          <w:sz w:val="21"/>
          <w:szCs w:val="21"/>
        </w:rPr>
        <w:t>12,2 Prozent</w:t>
      </w:r>
      <w:r w:rsidR="00E40FF8">
        <w:rPr>
          <w:sz w:val="21"/>
          <w:szCs w:val="21"/>
        </w:rPr>
        <w:t xml:space="preserve"> mehr Passanten in</w:t>
      </w:r>
      <w:r w:rsidRPr="008B785B">
        <w:rPr>
          <w:sz w:val="21"/>
          <w:szCs w:val="21"/>
        </w:rPr>
        <w:t xml:space="preserve"> den Einkaufsstraßen der fünf größten deutschen Städte unterwegs als im Vorjahresmonat. Das Niveau des Vor-Corona-Jahres 2019 wurde jedoch nicht erreicht, die </w:t>
      </w:r>
      <w:proofErr w:type="spellStart"/>
      <w:r w:rsidRPr="008B785B">
        <w:rPr>
          <w:sz w:val="21"/>
          <w:szCs w:val="21"/>
        </w:rPr>
        <w:t>Passantenzahlen</w:t>
      </w:r>
      <w:proofErr w:type="spellEnd"/>
      <w:r w:rsidRPr="008B785B">
        <w:rPr>
          <w:sz w:val="21"/>
          <w:szCs w:val="21"/>
        </w:rPr>
        <w:t xml:space="preserve"> lagen in diesem Zeitraum um </w:t>
      </w:r>
      <w:r w:rsidRPr="0053721D">
        <w:rPr>
          <w:b/>
          <w:sz w:val="21"/>
          <w:szCs w:val="21"/>
        </w:rPr>
        <w:t>6,6 Prozent</w:t>
      </w:r>
      <w:r w:rsidRPr="008B785B">
        <w:rPr>
          <w:sz w:val="21"/>
          <w:szCs w:val="21"/>
        </w:rPr>
        <w:t xml:space="preserve"> unter dem Wert von Oktober 2019. </w:t>
      </w:r>
      <w:r>
        <w:rPr>
          <w:sz w:val="21"/>
          <w:szCs w:val="21"/>
        </w:rPr>
        <w:t xml:space="preserve">Es ist erfreulich, dass die Frequenz sich langsam aber stetig nach der </w:t>
      </w:r>
      <w:proofErr w:type="spellStart"/>
      <w:r>
        <w:rPr>
          <w:sz w:val="21"/>
          <w:szCs w:val="21"/>
        </w:rPr>
        <w:t>Coronazeit</w:t>
      </w:r>
      <w:proofErr w:type="spellEnd"/>
      <w:r>
        <w:rPr>
          <w:sz w:val="21"/>
          <w:szCs w:val="21"/>
        </w:rPr>
        <w:t xml:space="preserve"> zu normalisieren scheint. Gerade die steigende Frequenz im letzten Quartal 2022 spiegelt das erfolgreiche Weihnachtsgeschäft der Fachhändler wider. </w:t>
      </w:r>
    </w:p>
    <w:p w:rsidR="00B104A7" w:rsidRPr="00FF5BEA" w:rsidRDefault="00B104A7" w:rsidP="00B104A7">
      <w:pPr>
        <w:spacing w:before="200" w:line="360" w:lineRule="auto"/>
        <w:ind w:right="-28"/>
        <w:jc w:val="both"/>
        <w:rPr>
          <w:sz w:val="21"/>
          <w:szCs w:val="21"/>
        </w:rPr>
      </w:pPr>
      <w:r>
        <w:rPr>
          <w:sz w:val="21"/>
          <w:szCs w:val="21"/>
        </w:rPr>
        <w:t xml:space="preserve">Die positive Grundstimmung der GPK-/Hausratbranche korrespondiert mit der </w:t>
      </w:r>
      <w:r w:rsidRPr="0053721D">
        <w:rPr>
          <w:b/>
          <w:sz w:val="21"/>
          <w:szCs w:val="21"/>
        </w:rPr>
        <w:t xml:space="preserve">Umsatzentwicklung der </w:t>
      </w:r>
      <w:r w:rsidR="00E40FF8">
        <w:rPr>
          <w:b/>
          <w:sz w:val="21"/>
          <w:szCs w:val="21"/>
        </w:rPr>
        <w:t>GPK-</w:t>
      </w:r>
      <w:r w:rsidRPr="0053721D">
        <w:rPr>
          <w:b/>
          <w:sz w:val="21"/>
          <w:szCs w:val="21"/>
        </w:rPr>
        <w:t>Fachgeschäfte</w:t>
      </w:r>
      <w:r>
        <w:rPr>
          <w:sz w:val="21"/>
          <w:szCs w:val="21"/>
        </w:rPr>
        <w:t xml:space="preserve">. Hier </w:t>
      </w:r>
      <w:r w:rsidR="009529D9">
        <w:rPr>
          <w:sz w:val="21"/>
          <w:szCs w:val="21"/>
        </w:rPr>
        <w:t xml:space="preserve">konnte 2022 ein </w:t>
      </w:r>
      <w:r w:rsidR="009529D9" w:rsidRPr="0053721D">
        <w:rPr>
          <w:b/>
          <w:sz w:val="21"/>
          <w:szCs w:val="21"/>
        </w:rPr>
        <w:t>Zuwachs über 1,1</w:t>
      </w:r>
      <w:r w:rsidRPr="0053721D">
        <w:rPr>
          <w:b/>
          <w:sz w:val="21"/>
          <w:szCs w:val="21"/>
        </w:rPr>
        <w:t> Prozentpunkte</w:t>
      </w:r>
      <w:r>
        <w:rPr>
          <w:sz w:val="21"/>
          <w:szCs w:val="21"/>
        </w:rPr>
        <w:t xml:space="preserve"> gegenüber dem Vorjahr verzeichnet werden. Somit ist der stationäre Fachhandel nach wie vor </w:t>
      </w:r>
      <w:proofErr w:type="gramStart"/>
      <w:r>
        <w:rPr>
          <w:sz w:val="21"/>
          <w:szCs w:val="21"/>
        </w:rPr>
        <w:t>der stärkste Distributionskanal</w:t>
      </w:r>
      <w:proofErr w:type="gramEnd"/>
      <w:r>
        <w:rPr>
          <w:sz w:val="21"/>
          <w:szCs w:val="21"/>
        </w:rPr>
        <w:t xml:space="preserve"> im „GPK/Hausrat“-Bereich</w:t>
      </w:r>
      <w:r w:rsidRPr="00FF5BEA">
        <w:rPr>
          <w:sz w:val="21"/>
          <w:szCs w:val="21"/>
        </w:rPr>
        <w:t xml:space="preserve">. Das Handelsformat der Fachgeschäfte steht für </w:t>
      </w:r>
      <w:r w:rsidRPr="0053721D">
        <w:rPr>
          <w:b/>
          <w:sz w:val="21"/>
          <w:szCs w:val="21"/>
        </w:rPr>
        <w:t>28 Prozent des Branchenumsatzes</w:t>
      </w:r>
      <w:r w:rsidRPr="00FF5BEA">
        <w:rPr>
          <w:sz w:val="21"/>
          <w:szCs w:val="21"/>
        </w:rPr>
        <w:t xml:space="preserve">, der </w:t>
      </w:r>
      <w:r w:rsidRPr="0053721D">
        <w:rPr>
          <w:b/>
          <w:sz w:val="21"/>
          <w:szCs w:val="21"/>
        </w:rPr>
        <w:t>Möbelhandel für 11 Prozent</w:t>
      </w:r>
      <w:r w:rsidRPr="00FF5BEA">
        <w:rPr>
          <w:sz w:val="21"/>
          <w:szCs w:val="21"/>
        </w:rPr>
        <w:t xml:space="preserve">, </w:t>
      </w:r>
      <w:r w:rsidRPr="0053721D">
        <w:rPr>
          <w:b/>
          <w:sz w:val="21"/>
          <w:szCs w:val="21"/>
        </w:rPr>
        <w:t>SB-Warenhäuser und Verbrauchermärkte für 8 Prozent</w:t>
      </w:r>
      <w:r w:rsidRPr="00FF5BEA">
        <w:rPr>
          <w:sz w:val="21"/>
          <w:szCs w:val="21"/>
        </w:rPr>
        <w:t xml:space="preserve">, </w:t>
      </w:r>
      <w:r w:rsidRPr="0053721D">
        <w:rPr>
          <w:b/>
          <w:sz w:val="21"/>
          <w:szCs w:val="21"/>
        </w:rPr>
        <w:t>Lebensmittelhandel und Discounter für 9 Prozent</w:t>
      </w:r>
      <w:r w:rsidRPr="00FF5BEA">
        <w:rPr>
          <w:sz w:val="21"/>
          <w:szCs w:val="21"/>
        </w:rPr>
        <w:t xml:space="preserve">. </w:t>
      </w:r>
    </w:p>
    <w:p w:rsidR="00B104A7" w:rsidRDefault="00B104A7" w:rsidP="00B104A7">
      <w:pPr>
        <w:spacing w:before="120" w:line="360" w:lineRule="auto"/>
        <w:ind w:right="-28"/>
        <w:jc w:val="both"/>
        <w:rPr>
          <w:sz w:val="21"/>
          <w:szCs w:val="21"/>
        </w:rPr>
      </w:pPr>
      <w:r w:rsidRPr="00A775BA">
        <w:rPr>
          <w:sz w:val="21"/>
          <w:szCs w:val="21"/>
        </w:rPr>
        <w:t xml:space="preserve">Den Umsatzanteil von </w:t>
      </w:r>
      <w:r w:rsidRPr="0053721D">
        <w:rPr>
          <w:b/>
          <w:sz w:val="21"/>
          <w:szCs w:val="21"/>
        </w:rPr>
        <w:t>Internet-Pure-Playern</w:t>
      </w:r>
      <w:r w:rsidRPr="00A775BA">
        <w:rPr>
          <w:sz w:val="21"/>
          <w:szCs w:val="21"/>
        </w:rPr>
        <w:t xml:space="preserve"> wird mit </w:t>
      </w:r>
      <w:r w:rsidRPr="0053721D">
        <w:rPr>
          <w:b/>
          <w:sz w:val="21"/>
          <w:szCs w:val="21"/>
        </w:rPr>
        <w:t>10 Prozent</w:t>
      </w:r>
      <w:r w:rsidRPr="00A775BA">
        <w:rPr>
          <w:sz w:val="21"/>
          <w:szCs w:val="21"/>
        </w:rPr>
        <w:t xml:space="preserve"> (-</w:t>
      </w:r>
      <w:r>
        <w:rPr>
          <w:sz w:val="21"/>
          <w:szCs w:val="21"/>
        </w:rPr>
        <w:t> </w:t>
      </w:r>
      <w:r w:rsidRPr="00A775BA">
        <w:rPr>
          <w:sz w:val="21"/>
          <w:szCs w:val="21"/>
        </w:rPr>
        <w:t xml:space="preserve">1,7 Prozent) angegeben. Lediglich </w:t>
      </w:r>
      <w:r w:rsidRPr="0053721D">
        <w:rPr>
          <w:b/>
          <w:sz w:val="21"/>
          <w:szCs w:val="21"/>
        </w:rPr>
        <w:t>5 Prozent</w:t>
      </w:r>
      <w:r w:rsidRPr="00A775BA">
        <w:rPr>
          <w:sz w:val="21"/>
          <w:szCs w:val="21"/>
        </w:rPr>
        <w:t xml:space="preserve"> machen die </w:t>
      </w:r>
      <w:r w:rsidRPr="0053721D">
        <w:rPr>
          <w:b/>
          <w:sz w:val="21"/>
          <w:szCs w:val="21"/>
        </w:rPr>
        <w:t>Kauf- und Warenhäuser</w:t>
      </w:r>
      <w:r w:rsidRPr="00A775BA">
        <w:rPr>
          <w:sz w:val="21"/>
          <w:szCs w:val="21"/>
        </w:rPr>
        <w:t xml:space="preserve"> aus. </w:t>
      </w:r>
      <w:r>
        <w:rPr>
          <w:sz w:val="21"/>
          <w:szCs w:val="21"/>
        </w:rPr>
        <w:t xml:space="preserve">Dass der Umsatzanteil des von den </w:t>
      </w:r>
      <w:proofErr w:type="spellStart"/>
      <w:r>
        <w:rPr>
          <w:sz w:val="21"/>
          <w:szCs w:val="21"/>
        </w:rPr>
        <w:t>Lockdowns</w:t>
      </w:r>
      <w:proofErr w:type="spellEnd"/>
      <w:r>
        <w:rPr>
          <w:sz w:val="21"/>
          <w:szCs w:val="21"/>
        </w:rPr>
        <w:t xml:space="preserve"> beflügelte Onlinehandels leicht rückgängig ist, ist nicht verwunderlich: Einerseits hat es die Verbraucher gerade für größere und beratungsintensivere Produkte wieder in den Fachhandel gezogen, andererseits litt auch der Onlinehandel extrem unter den gestörten Lieferketten. Darüber hinaus, hat si</w:t>
      </w:r>
      <w:r w:rsidR="002353D5">
        <w:rPr>
          <w:sz w:val="21"/>
          <w:szCs w:val="21"/>
        </w:rPr>
        <w:t>ch der Anteil stationärer Fach</w:t>
      </w:r>
      <w:r>
        <w:rPr>
          <w:sz w:val="21"/>
          <w:szCs w:val="21"/>
        </w:rPr>
        <w:t xml:space="preserve">händler, die zusätzlich online </w:t>
      </w:r>
      <w:r w:rsidR="002353D5">
        <w:rPr>
          <w:sz w:val="21"/>
          <w:szCs w:val="21"/>
        </w:rPr>
        <w:t>ver</w:t>
      </w:r>
      <w:r>
        <w:rPr>
          <w:sz w:val="21"/>
          <w:szCs w:val="21"/>
        </w:rPr>
        <w:t>kaufen, spätestens seit Corona stark erhöht. Diese Umsätze werden überwiegend dem stationären Fachhandel zugerechnet.</w:t>
      </w:r>
    </w:p>
    <w:p w:rsidR="000611C8" w:rsidRPr="00A775BA" w:rsidRDefault="000611C8" w:rsidP="00B104A7">
      <w:pPr>
        <w:spacing w:before="120" w:line="360" w:lineRule="auto"/>
        <w:ind w:right="-28"/>
        <w:jc w:val="both"/>
        <w:rPr>
          <w:sz w:val="21"/>
          <w:szCs w:val="21"/>
        </w:rPr>
      </w:pPr>
    </w:p>
    <w:p w:rsidR="00B104A7" w:rsidRDefault="007F11EE" w:rsidP="00B104A7">
      <w:pPr>
        <w:spacing w:before="200" w:line="360" w:lineRule="auto"/>
        <w:ind w:right="-28"/>
        <w:jc w:val="both"/>
        <w:rPr>
          <w:b/>
          <w:sz w:val="21"/>
          <w:szCs w:val="21"/>
        </w:rPr>
      </w:pPr>
      <w:r w:rsidRPr="007F11EE">
        <w:rPr>
          <w:b/>
          <w:sz w:val="21"/>
          <w:szCs w:val="21"/>
        </w:rPr>
        <w:lastRenderedPageBreak/>
        <w:t>„Ökosystem Innenstadt“ muss revitalisiert werden</w:t>
      </w:r>
    </w:p>
    <w:p w:rsidR="007F11EE" w:rsidRDefault="007F11EE" w:rsidP="007F11EE">
      <w:pPr>
        <w:spacing w:before="200" w:line="360" w:lineRule="auto"/>
        <w:ind w:right="-28"/>
        <w:jc w:val="both"/>
        <w:rPr>
          <w:sz w:val="21"/>
          <w:szCs w:val="21"/>
        </w:rPr>
      </w:pPr>
      <w:r>
        <w:rPr>
          <w:sz w:val="21"/>
          <w:szCs w:val="21"/>
        </w:rPr>
        <w:t xml:space="preserve">Sämtliche Innenstädte haben eines gemeinsam: Sie sind historisch gewachsen und bilden das Zentrum des gesellschaftlichen Lebens. Damit die Innenstadt als in sich geschlossenes Ökosystem funktioniert, braucht es idealerweise </w:t>
      </w:r>
      <w:r w:rsidRPr="007F11EE">
        <w:rPr>
          <w:sz w:val="21"/>
          <w:szCs w:val="21"/>
        </w:rPr>
        <w:t>einen lebendigen Mix aus Einzelhandel, Gastronomie, Hotellerie, Dienstleistung, Kunst und Kultur sowie Freizeiteinrichtungen.</w:t>
      </w:r>
      <w:r>
        <w:rPr>
          <w:sz w:val="21"/>
          <w:szCs w:val="21"/>
        </w:rPr>
        <w:t xml:space="preserve"> Das Gleichgewicht dieser wichtigen Faktoren war bereits vor der Pandem</w:t>
      </w:r>
      <w:r w:rsidR="00F87F02">
        <w:rPr>
          <w:sz w:val="21"/>
          <w:szCs w:val="21"/>
        </w:rPr>
        <w:t>ie gestört, wurde aber</w:t>
      </w:r>
      <w:r>
        <w:rPr>
          <w:sz w:val="21"/>
          <w:szCs w:val="21"/>
        </w:rPr>
        <w:t xml:space="preserve"> durch die fortsch</w:t>
      </w:r>
      <w:r w:rsidR="00F87F02">
        <w:rPr>
          <w:sz w:val="21"/>
          <w:szCs w:val="21"/>
        </w:rPr>
        <w:t>reitende Digitalisierung und</w:t>
      </w:r>
      <w:r>
        <w:rPr>
          <w:sz w:val="21"/>
          <w:szCs w:val="21"/>
        </w:rPr>
        <w:t xml:space="preserve"> pandemischen Negativerscheinungen noch stärker ins Wanken gebracht. </w:t>
      </w:r>
      <w:r w:rsidRPr="007F11EE">
        <w:rPr>
          <w:sz w:val="21"/>
          <w:szCs w:val="21"/>
        </w:rPr>
        <w:t>Die Herausforderungen der Verkehrswende und die Klimaschutzdebatte setzen den Standort Innenstadt zusätzlich unter enormen Handlungsdruck.</w:t>
      </w:r>
      <w:r w:rsidR="00A33143">
        <w:rPr>
          <w:sz w:val="21"/>
          <w:szCs w:val="21"/>
        </w:rPr>
        <w:t xml:space="preserve"> Autos werden aus vielen Städten mit drastischen Mitteln verbannt, ohne dass die Verantwortlichen ein Plan B wie bspw. attraktive ÖPNV-Angebote</w:t>
      </w:r>
      <w:r w:rsidR="007802AC">
        <w:rPr>
          <w:sz w:val="21"/>
          <w:szCs w:val="21"/>
        </w:rPr>
        <w:t xml:space="preserve">/-Kapazitäten oder nachhaltige individualisierte, intelligente Mobilitätskonzepte </w:t>
      </w:r>
      <w:r w:rsidR="00A33143">
        <w:rPr>
          <w:sz w:val="21"/>
          <w:szCs w:val="21"/>
        </w:rPr>
        <w:t xml:space="preserve">in der Tasche zu haben. </w:t>
      </w:r>
      <w:r w:rsidR="007802AC">
        <w:rPr>
          <w:sz w:val="21"/>
          <w:szCs w:val="21"/>
        </w:rPr>
        <w:t>Leerstehende</w:t>
      </w:r>
      <w:r w:rsidR="00A33143">
        <w:rPr>
          <w:sz w:val="21"/>
          <w:szCs w:val="21"/>
        </w:rPr>
        <w:t xml:space="preserve"> Immobilien in 1a-Lage werden oft von austauschbaren Handelsketten übernommen, die negativ auf das Ökosystem ausstrahlen und ihm die Chance nehmen, sich von den anderen </w:t>
      </w:r>
      <w:r w:rsidR="006C01CD">
        <w:rPr>
          <w:sz w:val="21"/>
          <w:szCs w:val="21"/>
        </w:rPr>
        <w:t>Einkaufsstraßen zu differenzieren</w:t>
      </w:r>
      <w:r w:rsidR="00A33143">
        <w:rPr>
          <w:sz w:val="21"/>
          <w:szCs w:val="21"/>
        </w:rPr>
        <w:t xml:space="preserve"> und ein eigenes, im besten Fall, regionales Profil zu entwickeln. </w:t>
      </w:r>
      <w:r w:rsidR="007802AC">
        <w:rPr>
          <w:sz w:val="21"/>
          <w:szCs w:val="21"/>
        </w:rPr>
        <w:t xml:space="preserve">Auch für das aussterbende Warenhausangebot muss dringend eine Lösung gefunden werden. Gerade in Städten </w:t>
      </w:r>
      <w:r w:rsidR="00E40FF8">
        <w:rPr>
          <w:sz w:val="21"/>
          <w:szCs w:val="21"/>
        </w:rPr>
        <w:t xml:space="preserve">kleinerer und </w:t>
      </w:r>
      <w:r w:rsidR="007802AC">
        <w:rPr>
          <w:sz w:val="21"/>
          <w:szCs w:val="21"/>
        </w:rPr>
        <w:t>mittlerer Größe ziehen Kaufhäuser nach wie vor Kundschaft in die Stadt. Ganz wichtig ist auch die Überlegung, wie mit Leerstand und der Wiederbelebung der geschlossenen Kaufhausfilialen umgegangen werden soll. Hier müssen die Städte um jeden Preis eine Nutzung im Sinne des Ökosystems Innenstadt durch die Vereinigung von Handel, Dienstleistungen, Wohn-, Arbeits- und Freizeitraum, Gastronomie und Kultur</w:t>
      </w:r>
      <w:r w:rsidR="002353D5">
        <w:rPr>
          <w:sz w:val="21"/>
          <w:szCs w:val="21"/>
        </w:rPr>
        <w:t xml:space="preserve"> umsetzen</w:t>
      </w:r>
      <w:r w:rsidR="007802AC">
        <w:rPr>
          <w:sz w:val="21"/>
          <w:szCs w:val="21"/>
        </w:rPr>
        <w:t>. Besonders wichtig ist d</w:t>
      </w:r>
      <w:r w:rsidR="00B91C22">
        <w:rPr>
          <w:sz w:val="21"/>
          <w:szCs w:val="21"/>
        </w:rPr>
        <w:t xml:space="preserve">er inhabergeführte Einzelhandel, um die Standortattraktivität zu erhöhen. Der Fachhandel bedingt die Innenstadt und eine gut funktionierende Innenstadt benötigt </w:t>
      </w:r>
      <w:r w:rsidR="00E40FF8">
        <w:rPr>
          <w:sz w:val="21"/>
          <w:szCs w:val="21"/>
        </w:rPr>
        <w:t>einen starken,</w:t>
      </w:r>
      <w:r w:rsidR="00B91C22">
        <w:rPr>
          <w:sz w:val="21"/>
          <w:szCs w:val="21"/>
        </w:rPr>
        <w:t xml:space="preserve"> regionalen Fachhandel. </w:t>
      </w:r>
    </w:p>
    <w:p w:rsidR="006C01CD" w:rsidRPr="006C01CD" w:rsidRDefault="006C01CD" w:rsidP="007F11EE">
      <w:pPr>
        <w:spacing w:before="200" w:line="360" w:lineRule="auto"/>
        <w:ind w:right="-28"/>
        <w:jc w:val="both"/>
        <w:rPr>
          <w:b/>
          <w:sz w:val="21"/>
          <w:szCs w:val="21"/>
        </w:rPr>
      </w:pPr>
      <w:r w:rsidRPr="006C01CD">
        <w:rPr>
          <w:b/>
          <w:sz w:val="21"/>
          <w:szCs w:val="21"/>
        </w:rPr>
        <w:t>Bewertung der Umsatzzahlen &amp; Ausblick 2023</w:t>
      </w:r>
    </w:p>
    <w:p w:rsidR="00FE5274" w:rsidRDefault="006C01CD" w:rsidP="007F11EE">
      <w:pPr>
        <w:spacing w:before="200" w:line="360" w:lineRule="auto"/>
        <w:ind w:right="-28"/>
        <w:jc w:val="both"/>
        <w:rPr>
          <w:sz w:val="21"/>
          <w:szCs w:val="21"/>
        </w:rPr>
      </w:pPr>
      <w:r>
        <w:rPr>
          <w:sz w:val="21"/>
          <w:szCs w:val="21"/>
        </w:rPr>
        <w:t xml:space="preserve">Ein derartiges Umsatzwachstum in diesem Ausmaß gab es in der GPK-Branche zuletzt in den Neunziger Jahren. Dennoch muss beachtet werden, dass 2022 in jeglicher Hinsicht ein Ausnahmejahr </w:t>
      </w:r>
      <w:r w:rsidR="00BB4C69">
        <w:rPr>
          <w:sz w:val="21"/>
          <w:szCs w:val="21"/>
        </w:rPr>
        <w:t xml:space="preserve">mit veränderten Rahmenbedingungen </w:t>
      </w:r>
      <w:r>
        <w:rPr>
          <w:sz w:val="21"/>
          <w:szCs w:val="21"/>
        </w:rPr>
        <w:t xml:space="preserve">darstellt. </w:t>
      </w:r>
      <w:r w:rsidR="00BB4C69">
        <w:rPr>
          <w:sz w:val="21"/>
          <w:szCs w:val="21"/>
        </w:rPr>
        <w:t>Die Inflationsrate lag im Jahresdurchschnitt bei 7,9 Prozent, Preise für Rohstoffe und Energie</w:t>
      </w:r>
      <w:r w:rsidR="00623E4D">
        <w:rPr>
          <w:sz w:val="21"/>
          <w:szCs w:val="21"/>
        </w:rPr>
        <w:t xml:space="preserve"> stiegen ins Unermessliche und Warenverfügbarkeit war aufgrund von </w:t>
      </w:r>
      <w:r w:rsidR="00623E4D">
        <w:rPr>
          <w:sz w:val="21"/>
          <w:szCs w:val="21"/>
        </w:rPr>
        <w:lastRenderedPageBreak/>
        <w:t xml:space="preserve">gestörten Lieferketten keine Selbstverständlichkeit. Hinzu kommt der Preisauftrieb, sodass sich die Wachstumsrate relativiert, aber dennoch </w:t>
      </w:r>
      <w:r w:rsidR="00106959">
        <w:rPr>
          <w:sz w:val="21"/>
          <w:szCs w:val="21"/>
        </w:rPr>
        <w:t xml:space="preserve">unterm Strich </w:t>
      </w:r>
      <w:r w:rsidR="00623E4D">
        <w:rPr>
          <w:sz w:val="21"/>
          <w:szCs w:val="21"/>
        </w:rPr>
        <w:t xml:space="preserve">positiv bleibt. </w:t>
      </w:r>
      <w:r w:rsidR="00106959">
        <w:rPr>
          <w:sz w:val="21"/>
          <w:szCs w:val="21"/>
        </w:rPr>
        <w:t>Einerseits liegt das an den immer noch spürbaren Nach</w:t>
      </w:r>
      <w:r w:rsidR="00E40FF8">
        <w:rPr>
          <w:sz w:val="21"/>
          <w:szCs w:val="21"/>
        </w:rPr>
        <w:t>hol</w:t>
      </w:r>
      <w:r w:rsidR="00106959">
        <w:rPr>
          <w:sz w:val="21"/>
          <w:szCs w:val="21"/>
        </w:rPr>
        <w:t xml:space="preserve">effekten des in der Krise entstandenen </w:t>
      </w:r>
      <w:proofErr w:type="spellStart"/>
      <w:r w:rsidR="00106959">
        <w:rPr>
          <w:sz w:val="21"/>
          <w:szCs w:val="21"/>
        </w:rPr>
        <w:t>Homingeffektes</w:t>
      </w:r>
      <w:proofErr w:type="spellEnd"/>
      <w:r w:rsidR="00106959">
        <w:rPr>
          <w:sz w:val="21"/>
          <w:szCs w:val="21"/>
        </w:rPr>
        <w:t>, die gestiegene Nachfrage nach Artikeln rund um den eigenen Haushalt hält immer</w:t>
      </w:r>
      <w:r w:rsidR="00FE5274">
        <w:rPr>
          <w:sz w:val="21"/>
          <w:szCs w:val="21"/>
        </w:rPr>
        <w:t xml:space="preserve"> noch an. Andererseits wurde der Arbeitsmarkt und somit indirekt auch die Verbrauchern</w:t>
      </w:r>
      <w:r w:rsidR="00106959">
        <w:rPr>
          <w:sz w:val="21"/>
          <w:szCs w:val="21"/>
        </w:rPr>
        <w:t xml:space="preserve">achfrage durch staatliche Maßnahmen </w:t>
      </w:r>
      <w:r w:rsidR="00FE5274">
        <w:rPr>
          <w:sz w:val="21"/>
          <w:szCs w:val="21"/>
        </w:rPr>
        <w:t>wie Kurzarbeit und Überbrückungshilfen aufrecht gehalten, wovon auch der Fachhandel profitiert hat.</w:t>
      </w:r>
    </w:p>
    <w:p w:rsidR="00E40FF8" w:rsidRDefault="00FE5274" w:rsidP="007F760F">
      <w:pPr>
        <w:spacing w:before="200" w:line="360" w:lineRule="auto"/>
        <w:ind w:right="-28"/>
        <w:jc w:val="both"/>
        <w:rPr>
          <w:sz w:val="21"/>
          <w:szCs w:val="21"/>
        </w:rPr>
      </w:pPr>
      <w:r>
        <w:rPr>
          <w:sz w:val="21"/>
          <w:szCs w:val="21"/>
        </w:rPr>
        <w:t xml:space="preserve">Der Handelsverband Deutschland schaut mit einem </w:t>
      </w:r>
      <w:r w:rsidRPr="00FE5274">
        <w:rPr>
          <w:sz w:val="21"/>
          <w:szCs w:val="21"/>
        </w:rPr>
        <w:t>hoffnungsvolle</w:t>
      </w:r>
      <w:r>
        <w:rPr>
          <w:sz w:val="21"/>
          <w:szCs w:val="21"/>
        </w:rPr>
        <w:t>n</w:t>
      </w:r>
      <w:r w:rsidRPr="00FE5274">
        <w:rPr>
          <w:sz w:val="21"/>
          <w:szCs w:val="21"/>
        </w:rPr>
        <w:t xml:space="preserve"> Blick auf die weitere gesamtwirtschaftliche Entwicklung</w:t>
      </w:r>
      <w:r>
        <w:rPr>
          <w:sz w:val="21"/>
          <w:szCs w:val="21"/>
        </w:rPr>
        <w:t xml:space="preserve">. Gründe hierfür </w:t>
      </w:r>
      <w:r w:rsidRPr="00FE5274">
        <w:rPr>
          <w:sz w:val="21"/>
          <w:szCs w:val="21"/>
        </w:rPr>
        <w:t xml:space="preserve">sind </w:t>
      </w:r>
      <w:r>
        <w:rPr>
          <w:sz w:val="21"/>
          <w:szCs w:val="21"/>
        </w:rPr>
        <w:t xml:space="preserve">die </w:t>
      </w:r>
      <w:r w:rsidRPr="00FE5274">
        <w:rPr>
          <w:sz w:val="21"/>
          <w:szCs w:val="21"/>
        </w:rPr>
        <w:t xml:space="preserve">zuletzt </w:t>
      </w:r>
      <w:r>
        <w:rPr>
          <w:sz w:val="21"/>
          <w:szCs w:val="21"/>
        </w:rPr>
        <w:t xml:space="preserve">gesunkenen </w:t>
      </w:r>
      <w:r w:rsidRPr="00FE5274">
        <w:rPr>
          <w:sz w:val="21"/>
          <w:szCs w:val="21"/>
        </w:rPr>
        <w:t xml:space="preserve">Energiepreise, die </w:t>
      </w:r>
      <w:r>
        <w:rPr>
          <w:sz w:val="21"/>
          <w:szCs w:val="21"/>
        </w:rPr>
        <w:t xml:space="preserve">schwindende </w:t>
      </w:r>
      <w:r w:rsidRPr="00FE5274">
        <w:rPr>
          <w:sz w:val="21"/>
          <w:szCs w:val="21"/>
        </w:rPr>
        <w:t>Sorge vor einer Gasmangellage</w:t>
      </w:r>
      <w:r>
        <w:rPr>
          <w:sz w:val="21"/>
          <w:szCs w:val="21"/>
        </w:rPr>
        <w:t xml:space="preserve"> </w:t>
      </w:r>
      <w:r w:rsidRPr="00FE5274">
        <w:rPr>
          <w:sz w:val="21"/>
          <w:szCs w:val="21"/>
        </w:rPr>
        <w:t xml:space="preserve">und </w:t>
      </w:r>
      <w:r>
        <w:rPr>
          <w:sz w:val="21"/>
          <w:szCs w:val="21"/>
        </w:rPr>
        <w:t xml:space="preserve">Verbesserung der </w:t>
      </w:r>
      <w:r w:rsidRPr="00FE5274">
        <w:rPr>
          <w:sz w:val="21"/>
          <w:szCs w:val="21"/>
        </w:rPr>
        <w:t>Lieferketten</w:t>
      </w:r>
      <w:r>
        <w:rPr>
          <w:sz w:val="21"/>
          <w:szCs w:val="21"/>
        </w:rPr>
        <w:t xml:space="preserve">situation. </w:t>
      </w:r>
      <w:r w:rsidR="007F760F" w:rsidRPr="007F760F">
        <w:rPr>
          <w:sz w:val="21"/>
          <w:szCs w:val="21"/>
        </w:rPr>
        <w:t>Im Gegensatz zu den vergangenen beiden Jahren zeigt sich bei der Verbraucherstimmung in</w:t>
      </w:r>
      <w:r w:rsidR="007F760F">
        <w:rPr>
          <w:sz w:val="21"/>
          <w:szCs w:val="21"/>
        </w:rPr>
        <w:t xml:space="preserve"> </w:t>
      </w:r>
      <w:r w:rsidR="007F760F" w:rsidRPr="007F760F">
        <w:rPr>
          <w:sz w:val="21"/>
          <w:szCs w:val="21"/>
        </w:rPr>
        <w:t>Deutschland zu Beginn des Jahres 2023 eine Verbesserung. Allerdings</w:t>
      </w:r>
      <w:r w:rsidR="007F760F">
        <w:rPr>
          <w:sz w:val="21"/>
          <w:szCs w:val="21"/>
        </w:rPr>
        <w:t xml:space="preserve"> </w:t>
      </w:r>
      <w:r w:rsidR="007F760F" w:rsidRPr="007F760F">
        <w:rPr>
          <w:sz w:val="21"/>
          <w:szCs w:val="21"/>
        </w:rPr>
        <w:t>verläuft die Verbesserung der Verbraucherstimmung weiterhin in recht kleinen Schritten</w:t>
      </w:r>
      <w:r w:rsidR="007F760F">
        <w:rPr>
          <w:sz w:val="21"/>
          <w:szCs w:val="21"/>
        </w:rPr>
        <w:t xml:space="preserve"> und befindet sich </w:t>
      </w:r>
      <w:r w:rsidR="007F760F" w:rsidRPr="007F760F">
        <w:rPr>
          <w:sz w:val="21"/>
          <w:szCs w:val="21"/>
        </w:rPr>
        <w:t>immer noch auf einem niedrigen</w:t>
      </w:r>
      <w:r w:rsidR="007F760F">
        <w:rPr>
          <w:sz w:val="21"/>
          <w:szCs w:val="21"/>
        </w:rPr>
        <w:t xml:space="preserve"> </w:t>
      </w:r>
      <w:r w:rsidR="007F760F" w:rsidRPr="007F760F">
        <w:rPr>
          <w:sz w:val="21"/>
          <w:szCs w:val="21"/>
        </w:rPr>
        <w:t>Niveau.</w:t>
      </w:r>
      <w:r w:rsidR="007F760F">
        <w:rPr>
          <w:sz w:val="21"/>
          <w:szCs w:val="21"/>
        </w:rPr>
        <w:t xml:space="preserve"> </w:t>
      </w:r>
      <w:r w:rsidR="007F760F" w:rsidRPr="007F760F">
        <w:rPr>
          <w:sz w:val="21"/>
          <w:szCs w:val="21"/>
        </w:rPr>
        <w:t>Sollte die weitere gesamtwirtschaftliche</w:t>
      </w:r>
      <w:r w:rsidR="007F760F">
        <w:rPr>
          <w:sz w:val="21"/>
          <w:szCs w:val="21"/>
        </w:rPr>
        <w:t xml:space="preserve"> </w:t>
      </w:r>
      <w:r w:rsidR="007F760F" w:rsidRPr="007F760F">
        <w:rPr>
          <w:sz w:val="21"/>
          <w:szCs w:val="21"/>
        </w:rPr>
        <w:t xml:space="preserve">Entwicklung positiver verlaufen als noch vor einigen Monaten erwartet, dürfte </w:t>
      </w:r>
      <w:r w:rsidR="007F760F">
        <w:rPr>
          <w:sz w:val="21"/>
          <w:szCs w:val="21"/>
        </w:rPr>
        <w:t xml:space="preserve">sich die </w:t>
      </w:r>
      <w:r w:rsidR="007F760F" w:rsidRPr="007F760F">
        <w:rPr>
          <w:sz w:val="21"/>
          <w:szCs w:val="21"/>
        </w:rPr>
        <w:t xml:space="preserve">Verbraucherstimmung in Deutschland </w:t>
      </w:r>
      <w:r w:rsidR="007F760F">
        <w:rPr>
          <w:sz w:val="21"/>
          <w:szCs w:val="21"/>
        </w:rPr>
        <w:t>weiter aufhellen</w:t>
      </w:r>
      <w:r w:rsidR="007F760F" w:rsidRPr="007F760F">
        <w:rPr>
          <w:sz w:val="21"/>
          <w:szCs w:val="21"/>
        </w:rPr>
        <w:t xml:space="preserve">. </w:t>
      </w:r>
    </w:p>
    <w:p w:rsidR="007F760F" w:rsidRPr="00FE5274" w:rsidRDefault="00E3146A" w:rsidP="007F760F">
      <w:pPr>
        <w:spacing w:before="200" w:line="360" w:lineRule="auto"/>
        <w:ind w:right="-28"/>
        <w:jc w:val="both"/>
        <w:rPr>
          <w:sz w:val="21"/>
          <w:szCs w:val="21"/>
        </w:rPr>
      </w:pPr>
      <w:r>
        <w:rPr>
          <w:sz w:val="21"/>
          <w:szCs w:val="21"/>
        </w:rPr>
        <w:t xml:space="preserve">Es bleibt natürlich abzuwarten, wie lange der Trend zum </w:t>
      </w:r>
      <w:proofErr w:type="spellStart"/>
      <w:r>
        <w:rPr>
          <w:sz w:val="21"/>
          <w:szCs w:val="21"/>
        </w:rPr>
        <w:t>Homing</w:t>
      </w:r>
      <w:proofErr w:type="spellEnd"/>
      <w:r>
        <w:rPr>
          <w:sz w:val="21"/>
          <w:szCs w:val="21"/>
        </w:rPr>
        <w:t xml:space="preserve"> anhält und wie der Ukraine-Krieg sich weiterhin auf die Weltwirtschaft auswirkt. Darüber hinaus ist es sehr wahrscheinlich, dass nach den Entbehrungen der letzten drei Jahre die Tourismusbranche wesentlich höhere Umsätze erzielen wird, welche zumindest in den letzten Jahren zum Teil in die Home- und </w:t>
      </w:r>
      <w:proofErr w:type="spellStart"/>
      <w:r>
        <w:rPr>
          <w:sz w:val="21"/>
          <w:szCs w:val="21"/>
        </w:rPr>
        <w:t>Livingbranche</w:t>
      </w:r>
      <w:proofErr w:type="spellEnd"/>
      <w:r>
        <w:rPr>
          <w:sz w:val="21"/>
          <w:szCs w:val="21"/>
        </w:rPr>
        <w:t xml:space="preserve"> geflossen sind.</w:t>
      </w:r>
    </w:p>
    <w:p w:rsidR="006C01CD" w:rsidRDefault="0000042D" w:rsidP="007F760F">
      <w:pPr>
        <w:spacing w:before="200" w:line="360" w:lineRule="auto"/>
        <w:ind w:right="-28"/>
        <w:jc w:val="both"/>
        <w:rPr>
          <w:sz w:val="21"/>
          <w:szCs w:val="21"/>
        </w:rPr>
      </w:pPr>
      <w:r>
        <w:rPr>
          <w:sz w:val="21"/>
          <w:szCs w:val="21"/>
        </w:rPr>
        <w:t xml:space="preserve">Es ist anzunehmen, dass generell die Nachfrage nach mittel- und hochpreisigen Qualitätsprodukten stabiler bleiben wird als nach günstigen Produkten. Die Käufe werden </w:t>
      </w:r>
      <w:r w:rsidR="00E3146A">
        <w:rPr>
          <w:sz w:val="21"/>
          <w:szCs w:val="21"/>
        </w:rPr>
        <w:t xml:space="preserve">von den Verbrauchern </w:t>
      </w:r>
      <w:r>
        <w:rPr>
          <w:sz w:val="21"/>
          <w:szCs w:val="21"/>
        </w:rPr>
        <w:t xml:space="preserve">allerdings nicht mehr impulsiv, sondern </w:t>
      </w:r>
      <w:r w:rsidR="00E3146A">
        <w:rPr>
          <w:sz w:val="21"/>
          <w:szCs w:val="21"/>
        </w:rPr>
        <w:t xml:space="preserve">eher </w:t>
      </w:r>
      <w:r>
        <w:rPr>
          <w:sz w:val="21"/>
          <w:szCs w:val="21"/>
        </w:rPr>
        <w:t xml:space="preserve">besonnen und überlegt getätigt. </w:t>
      </w:r>
      <w:r w:rsidR="00E3146A">
        <w:rPr>
          <w:sz w:val="21"/>
          <w:szCs w:val="21"/>
        </w:rPr>
        <w:t>Und genau hier sieht der Handelsverband Koch- und Tischkultur eine große Chance für de</w:t>
      </w:r>
      <w:r w:rsidR="003842BA">
        <w:rPr>
          <w:sz w:val="21"/>
          <w:szCs w:val="21"/>
        </w:rPr>
        <w:t>n stationären Fachhandel, der sich ideal auf dieses</w:t>
      </w:r>
      <w:r w:rsidR="00E3146A">
        <w:rPr>
          <w:sz w:val="21"/>
          <w:szCs w:val="21"/>
        </w:rPr>
        <w:t xml:space="preserve"> Konsumverhalten</w:t>
      </w:r>
      <w:r w:rsidR="00624679">
        <w:rPr>
          <w:sz w:val="21"/>
          <w:szCs w:val="21"/>
        </w:rPr>
        <w:t xml:space="preserve"> einstellt</w:t>
      </w:r>
      <w:r w:rsidR="003842BA">
        <w:rPr>
          <w:sz w:val="21"/>
          <w:szCs w:val="21"/>
        </w:rPr>
        <w:t xml:space="preserve">. </w:t>
      </w:r>
    </w:p>
    <w:p w:rsidR="00421198" w:rsidRPr="00FE5274" w:rsidRDefault="00421198" w:rsidP="007F760F">
      <w:pPr>
        <w:spacing w:before="200" w:line="360" w:lineRule="auto"/>
        <w:ind w:right="-28"/>
        <w:jc w:val="both"/>
        <w:rPr>
          <w:sz w:val="21"/>
          <w:szCs w:val="21"/>
        </w:rPr>
      </w:pPr>
      <w:r>
        <w:rPr>
          <w:sz w:val="21"/>
          <w:szCs w:val="21"/>
        </w:rPr>
        <w:t xml:space="preserve">Für den Handelsverband Koch- und Tischkultur steht nach der erfolgreichen Premiere des eintägigen Branchenformats „GPK-Gipfeltreffen“ im Juni 2022 auf dem Gelände der Messe Frankfurt das </w:t>
      </w:r>
      <w:r>
        <w:rPr>
          <w:sz w:val="21"/>
          <w:szCs w:val="21"/>
        </w:rPr>
        <w:lastRenderedPageBreak/>
        <w:t xml:space="preserve">nächste Branchentreff dieser Art an. Dieser wird Ende September 2023 stattfinden. Weitere Informationen und Inhalte </w:t>
      </w:r>
      <w:r w:rsidR="002B7039">
        <w:rPr>
          <w:sz w:val="21"/>
          <w:szCs w:val="21"/>
        </w:rPr>
        <w:t xml:space="preserve">hierzu </w:t>
      </w:r>
      <w:r>
        <w:rPr>
          <w:sz w:val="21"/>
          <w:szCs w:val="21"/>
        </w:rPr>
        <w:t xml:space="preserve">folgen </w:t>
      </w:r>
      <w:r w:rsidR="002B7039">
        <w:rPr>
          <w:sz w:val="21"/>
          <w:szCs w:val="21"/>
        </w:rPr>
        <w:t>in den nächsten Wochen.</w:t>
      </w:r>
    </w:p>
    <w:p w:rsidR="00B104A7" w:rsidRPr="002B7039" w:rsidRDefault="00B104A7" w:rsidP="00B104A7">
      <w:pPr>
        <w:spacing w:before="200" w:line="360" w:lineRule="auto"/>
        <w:ind w:right="-28"/>
        <w:rPr>
          <w:b/>
          <w:sz w:val="21"/>
          <w:szCs w:val="21"/>
        </w:rPr>
      </w:pPr>
      <w:r w:rsidRPr="002B7039">
        <w:rPr>
          <w:b/>
          <w:sz w:val="21"/>
          <w:szCs w:val="21"/>
        </w:rPr>
        <w:t xml:space="preserve">Messe </w:t>
      </w:r>
      <w:r w:rsidR="002B7039" w:rsidRPr="002B7039">
        <w:rPr>
          <w:b/>
          <w:sz w:val="21"/>
          <w:szCs w:val="21"/>
        </w:rPr>
        <w:t>„Ambiente“</w:t>
      </w:r>
    </w:p>
    <w:p w:rsidR="00B104A7" w:rsidRPr="002B7039" w:rsidRDefault="003225D7" w:rsidP="002B7039">
      <w:pPr>
        <w:spacing w:before="120" w:line="360" w:lineRule="auto"/>
        <w:ind w:right="-28"/>
        <w:jc w:val="both"/>
        <w:rPr>
          <w:sz w:val="21"/>
          <w:szCs w:val="21"/>
        </w:rPr>
      </w:pPr>
      <w:r w:rsidRPr="002B7039">
        <w:rPr>
          <w:sz w:val="21"/>
          <w:szCs w:val="21"/>
        </w:rPr>
        <w:t>Der Handelsverband Koch- und Tischkultur freut sich</w:t>
      </w:r>
      <w:r w:rsidR="009B2160" w:rsidRPr="002B7039">
        <w:rPr>
          <w:sz w:val="21"/>
          <w:szCs w:val="21"/>
        </w:rPr>
        <w:t xml:space="preserve"> sehr darüber, dass die internationale Leitmesse „Ambiente“ wieder physisch als wichtigster Treffpunkt der Branche stattfinden kann. </w:t>
      </w:r>
      <w:r w:rsidR="00421198" w:rsidRPr="002B7039">
        <w:rPr>
          <w:sz w:val="21"/>
          <w:szCs w:val="21"/>
        </w:rPr>
        <w:t xml:space="preserve">Genau </w:t>
      </w:r>
      <w:r w:rsidR="009B2160" w:rsidRPr="002B7039">
        <w:rPr>
          <w:sz w:val="21"/>
          <w:szCs w:val="21"/>
        </w:rPr>
        <w:t>hier findet der Handel den einzigart</w:t>
      </w:r>
      <w:r w:rsidR="00421198" w:rsidRPr="002B7039">
        <w:rPr>
          <w:sz w:val="21"/>
          <w:szCs w:val="21"/>
        </w:rPr>
        <w:t>igen Mix an Produkten, Ideen,</w:t>
      </w:r>
      <w:r w:rsidR="009B2160" w:rsidRPr="002B7039">
        <w:rPr>
          <w:sz w:val="21"/>
          <w:szCs w:val="21"/>
        </w:rPr>
        <w:t xml:space="preserve"> Innovationen</w:t>
      </w:r>
      <w:r w:rsidR="00421198" w:rsidRPr="002B7039">
        <w:rPr>
          <w:sz w:val="21"/>
          <w:szCs w:val="21"/>
        </w:rPr>
        <w:t xml:space="preserve"> sowie Impulse für den </w:t>
      </w:r>
      <w:proofErr w:type="spellStart"/>
      <w:r w:rsidR="00421198" w:rsidRPr="002B7039">
        <w:rPr>
          <w:sz w:val="21"/>
          <w:szCs w:val="21"/>
        </w:rPr>
        <w:t>PoS</w:t>
      </w:r>
      <w:r w:rsidR="009B2160" w:rsidRPr="002B7039">
        <w:rPr>
          <w:sz w:val="21"/>
          <w:szCs w:val="21"/>
        </w:rPr>
        <w:t>.</w:t>
      </w:r>
      <w:proofErr w:type="spellEnd"/>
      <w:r w:rsidR="009B2160" w:rsidRPr="002B7039">
        <w:rPr>
          <w:sz w:val="21"/>
          <w:szCs w:val="21"/>
        </w:rPr>
        <w:t xml:space="preserve"> Der neue Bereich Ambiente Working mit der Sonderpräsentation Future </w:t>
      </w:r>
      <w:proofErr w:type="spellStart"/>
      <w:r w:rsidR="009B2160" w:rsidRPr="002B7039">
        <w:rPr>
          <w:sz w:val="21"/>
          <w:szCs w:val="21"/>
        </w:rPr>
        <w:t>of</w:t>
      </w:r>
      <w:proofErr w:type="spellEnd"/>
      <w:r w:rsidR="009B2160" w:rsidRPr="002B7039">
        <w:rPr>
          <w:sz w:val="21"/>
          <w:szCs w:val="21"/>
        </w:rPr>
        <w:t xml:space="preserve"> Work stellt anschaulich da</w:t>
      </w:r>
      <w:r w:rsidR="002B7039" w:rsidRPr="002B7039">
        <w:rPr>
          <w:sz w:val="21"/>
          <w:szCs w:val="21"/>
        </w:rPr>
        <w:t>r</w:t>
      </w:r>
      <w:r w:rsidR="009B2160" w:rsidRPr="002B7039">
        <w:rPr>
          <w:sz w:val="21"/>
          <w:szCs w:val="21"/>
        </w:rPr>
        <w:t xml:space="preserve">, wie das </w:t>
      </w:r>
      <w:r w:rsidR="002B7039" w:rsidRPr="002B7039">
        <w:rPr>
          <w:sz w:val="21"/>
          <w:szCs w:val="21"/>
        </w:rPr>
        <w:t>(Home-)</w:t>
      </w:r>
      <w:r w:rsidR="009B2160" w:rsidRPr="002B7039">
        <w:rPr>
          <w:sz w:val="21"/>
          <w:szCs w:val="21"/>
        </w:rPr>
        <w:t xml:space="preserve">Office immer mehr mit der Home- und </w:t>
      </w:r>
      <w:proofErr w:type="spellStart"/>
      <w:r w:rsidR="009B2160" w:rsidRPr="002B7039">
        <w:rPr>
          <w:sz w:val="21"/>
          <w:szCs w:val="21"/>
        </w:rPr>
        <w:t>Livingwelt</w:t>
      </w:r>
      <w:proofErr w:type="spellEnd"/>
      <w:r w:rsidR="009B2160" w:rsidRPr="002B7039">
        <w:rPr>
          <w:sz w:val="21"/>
          <w:szCs w:val="21"/>
        </w:rPr>
        <w:t xml:space="preserve"> verschmilzt. </w:t>
      </w:r>
    </w:p>
    <w:p w:rsidR="00F71684" w:rsidRDefault="00F71684" w:rsidP="002B7039">
      <w:pPr>
        <w:spacing w:before="120" w:line="360" w:lineRule="auto"/>
        <w:ind w:right="-28"/>
        <w:jc w:val="both"/>
        <w:rPr>
          <w:sz w:val="21"/>
          <w:szCs w:val="21"/>
        </w:rPr>
      </w:pPr>
    </w:p>
    <w:p w:rsidR="00F71684" w:rsidRPr="00F71684" w:rsidRDefault="00F71684" w:rsidP="0000042D">
      <w:pPr>
        <w:spacing w:before="120" w:line="240" w:lineRule="exact"/>
        <w:ind w:right="-28"/>
        <w:jc w:val="both"/>
        <w:rPr>
          <w:sz w:val="18"/>
          <w:szCs w:val="18"/>
        </w:rPr>
      </w:pPr>
      <w:r w:rsidRPr="00F71684">
        <w:rPr>
          <w:sz w:val="18"/>
          <w:szCs w:val="18"/>
        </w:rPr>
        <w:t>Fotos und weitere Downloads stehen auf d</w:t>
      </w:r>
      <w:r w:rsidR="00B104A7">
        <w:rPr>
          <w:sz w:val="18"/>
          <w:szCs w:val="18"/>
        </w:rPr>
        <w:t>er Website www.hwb.online</w:t>
      </w:r>
      <w:r w:rsidRPr="00F71684">
        <w:rPr>
          <w:sz w:val="18"/>
          <w:szCs w:val="18"/>
        </w:rPr>
        <w:t xml:space="preserve"> bereit.</w:t>
      </w:r>
    </w:p>
    <w:p w:rsidR="00F71684" w:rsidRPr="00F71684" w:rsidRDefault="00F71684" w:rsidP="0000042D">
      <w:pPr>
        <w:spacing w:before="120" w:line="240" w:lineRule="exact"/>
        <w:ind w:right="-28"/>
        <w:jc w:val="both"/>
        <w:rPr>
          <w:sz w:val="18"/>
          <w:szCs w:val="18"/>
        </w:rPr>
      </w:pPr>
    </w:p>
    <w:p w:rsidR="00F71684" w:rsidRDefault="00F71684" w:rsidP="0000042D">
      <w:pPr>
        <w:spacing w:before="120" w:line="240" w:lineRule="exact"/>
        <w:ind w:right="-28"/>
        <w:jc w:val="both"/>
        <w:rPr>
          <w:sz w:val="18"/>
          <w:szCs w:val="18"/>
        </w:rPr>
      </w:pPr>
      <w:r w:rsidRPr="00CD670C">
        <w:rPr>
          <w:sz w:val="18"/>
          <w:szCs w:val="18"/>
        </w:rPr>
        <w:t xml:space="preserve">Der </w:t>
      </w:r>
      <w:r w:rsidR="00CD670C">
        <w:rPr>
          <w:sz w:val="18"/>
          <w:szCs w:val="18"/>
        </w:rPr>
        <w:t>Handelsverband Koch- und Tischkultur</w:t>
      </w:r>
      <w:r w:rsidRPr="00CD670C">
        <w:rPr>
          <w:sz w:val="18"/>
          <w:szCs w:val="18"/>
        </w:rPr>
        <w:t xml:space="preserve"> (GPK) ist die berufspolitische und fachliche Interessenvertretung von über 4.000 Fachgeschäften mit Tisch-, Küchen- und Wohnaccessoires sowie Geschenkartikeln. Rund 20.000 Menschen sind in Voll- und Teilzeit beschäftigt. Der Branc</w:t>
      </w:r>
      <w:r w:rsidR="000611C8">
        <w:rPr>
          <w:sz w:val="18"/>
          <w:szCs w:val="18"/>
        </w:rPr>
        <w:t>henumsatz beläuft sich auf rund 7</w:t>
      </w:r>
      <w:r w:rsidRPr="00CD670C">
        <w:rPr>
          <w:sz w:val="18"/>
          <w:szCs w:val="18"/>
        </w:rPr>
        <w:t xml:space="preserve"> Mrd. Euro. Der </w:t>
      </w:r>
      <w:r w:rsidR="009E0978">
        <w:rPr>
          <w:sz w:val="18"/>
          <w:szCs w:val="18"/>
        </w:rPr>
        <w:t>Handelsverband</w:t>
      </w:r>
      <w:r w:rsidRPr="00CD670C">
        <w:rPr>
          <w:sz w:val="18"/>
          <w:szCs w:val="18"/>
        </w:rPr>
        <w:t xml:space="preserve"> GPK ist dem Handelsverband Deutschland (HDE) angeschlossen.</w:t>
      </w:r>
    </w:p>
    <w:p w:rsidR="00CD670C" w:rsidRPr="00CD670C" w:rsidRDefault="00CD670C" w:rsidP="0000042D">
      <w:pPr>
        <w:spacing w:before="120" w:line="240" w:lineRule="exact"/>
        <w:ind w:right="-28"/>
        <w:jc w:val="both"/>
        <w:rPr>
          <w:sz w:val="18"/>
          <w:szCs w:val="18"/>
        </w:rPr>
      </w:pPr>
      <w:r w:rsidRPr="00CD670C">
        <w:rPr>
          <w:sz w:val="18"/>
          <w:szCs w:val="18"/>
        </w:rPr>
        <w:t>Der Handelsverband Wohnen und Büro ist die Dachorganisation des Handelsverbandes Möbel und Küchen (BVDM), des Handelsverbandes Büro und Schreibkultur (HBS)</w:t>
      </w:r>
      <w:r w:rsidR="009E0978">
        <w:rPr>
          <w:sz w:val="18"/>
          <w:szCs w:val="18"/>
        </w:rPr>
        <w:t xml:space="preserve"> sowie</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rsidR="00CD670C" w:rsidRPr="00CD670C" w:rsidRDefault="00CD670C" w:rsidP="0000042D">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p w:rsidR="00CD670C" w:rsidRPr="00CD670C" w:rsidRDefault="00CD670C" w:rsidP="0000042D">
      <w:pPr>
        <w:spacing w:before="120" w:line="240" w:lineRule="exact"/>
        <w:ind w:right="-28"/>
        <w:jc w:val="both"/>
        <w:rPr>
          <w:sz w:val="18"/>
          <w:szCs w:val="18"/>
        </w:rPr>
      </w:pPr>
    </w:p>
    <w:sectPr w:rsidR="00CD670C" w:rsidRPr="00CD670C"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4A7" w:rsidRDefault="00B104A7">
      <w:r>
        <w:separator/>
      </w:r>
    </w:p>
  </w:endnote>
  <w:endnote w:type="continuationSeparator" w:id="0">
    <w:p w:rsidR="00B104A7" w:rsidRDefault="00B1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4A7" w:rsidRDefault="00B104A7">
      <w:r>
        <w:separator/>
      </w:r>
    </w:p>
  </w:footnote>
  <w:footnote w:type="continuationSeparator" w:id="0">
    <w:p w:rsidR="00B104A7" w:rsidRDefault="00B104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C34C9F">
          <w:rPr>
            <w:noProof/>
          </w:rPr>
          <w:t>6</w:t>
        </w:r>
        <w:r>
          <w:rPr>
            <w:noProof/>
          </w:rPr>
          <w:fldChar w:fldCharType="end"/>
        </w:r>
      </w:p>
    </w:sdtContent>
  </w:sdt>
  <w:p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A7"/>
    <w:rsid w:val="0000042D"/>
    <w:rsid w:val="000006F7"/>
    <w:rsid w:val="00000870"/>
    <w:rsid w:val="0000493A"/>
    <w:rsid w:val="00006FE8"/>
    <w:rsid w:val="000131AE"/>
    <w:rsid w:val="00015E3B"/>
    <w:rsid w:val="000179B5"/>
    <w:rsid w:val="000207AD"/>
    <w:rsid w:val="00030491"/>
    <w:rsid w:val="00034616"/>
    <w:rsid w:val="0004097E"/>
    <w:rsid w:val="00041653"/>
    <w:rsid w:val="00042FD1"/>
    <w:rsid w:val="00045A0C"/>
    <w:rsid w:val="000501C2"/>
    <w:rsid w:val="00053D39"/>
    <w:rsid w:val="00055D86"/>
    <w:rsid w:val="00060B2E"/>
    <w:rsid w:val="000611C8"/>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06959"/>
    <w:rsid w:val="00111ADD"/>
    <w:rsid w:val="00112E8F"/>
    <w:rsid w:val="001157BB"/>
    <w:rsid w:val="001173B4"/>
    <w:rsid w:val="001268E1"/>
    <w:rsid w:val="00131DE8"/>
    <w:rsid w:val="00135A57"/>
    <w:rsid w:val="00137203"/>
    <w:rsid w:val="0014229D"/>
    <w:rsid w:val="00143742"/>
    <w:rsid w:val="00164E76"/>
    <w:rsid w:val="00166C96"/>
    <w:rsid w:val="0017046B"/>
    <w:rsid w:val="001753F3"/>
    <w:rsid w:val="00180665"/>
    <w:rsid w:val="00181C99"/>
    <w:rsid w:val="00186038"/>
    <w:rsid w:val="001B2D9C"/>
    <w:rsid w:val="001B3813"/>
    <w:rsid w:val="001C6D81"/>
    <w:rsid w:val="001D18A0"/>
    <w:rsid w:val="001E1B57"/>
    <w:rsid w:val="001E6249"/>
    <w:rsid w:val="001E6BC6"/>
    <w:rsid w:val="001E6F5C"/>
    <w:rsid w:val="001F0FBC"/>
    <w:rsid w:val="001F506A"/>
    <w:rsid w:val="001F7D8D"/>
    <w:rsid w:val="002002CB"/>
    <w:rsid w:val="00204A6A"/>
    <w:rsid w:val="0021491F"/>
    <w:rsid w:val="00216DFC"/>
    <w:rsid w:val="002218DB"/>
    <w:rsid w:val="00222365"/>
    <w:rsid w:val="00230112"/>
    <w:rsid w:val="002321E3"/>
    <w:rsid w:val="002353D5"/>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039"/>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225D7"/>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42BA"/>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1198"/>
    <w:rsid w:val="0042484A"/>
    <w:rsid w:val="0042497D"/>
    <w:rsid w:val="00430FBB"/>
    <w:rsid w:val="0044182A"/>
    <w:rsid w:val="004555AA"/>
    <w:rsid w:val="00455DF7"/>
    <w:rsid w:val="00462964"/>
    <w:rsid w:val="0047107E"/>
    <w:rsid w:val="00471F30"/>
    <w:rsid w:val="004760D5"/>
    <w:rsid w:val="0047706B"/>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38FC"/>
    <w:rsid w:val="00504D87"/>
    <w:rsid w:val="0050624E"/>
    <w:rsid w:val="00511970"/>
    <w:rsid w:val="00516D94"/>
    <w:rsid w:val="00517BAC"/>
    <w:rsid w:val="00521C36"/>
    <w:rsid w:val="0052542C"/>
    <w:rsid w:val="0052638C"/>
    <w:rsid w:val="0052742F"/>
    <w:rsid w:val="00530E3C"/>
    <w:rsid w:val="0053333B"/>
    <w:rsid w:val="005350FC"/>
    <w:rsid w:val="005368DB"/>
    <w:rsid w:val="0053721D"/>
    <w:rsid w:val="005441BA"/>
    <w:rsid w:val="00546DEF"/>
    <w:rsid w:val="0055448B"/>
    <w:rsid w:val="005664D2"/>
    <w:rsid w:val="00567C1E"/>
    <w:rsid w:val="0057075E"/>
    <w:rsid w:val="00571E0F"/>
    <w:rsid w:val="0057568D"/>
    <w:rsid w:val="005779FF"/>
    <w:rsid w:val="00581D16"/>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3E4D"/>
    <w:rsid w:val="00624679"/>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BE"/>
    <w:rsid w:val="006700E4"/>
    <w:rsid w:val="006717EE"/>
    <w:rsid w:val="006724B7"/>
    <w:rsid w:val="00672FB2"/>
    <w:rsid w:val="00677170"/>
    <w:rsid w:val="00681311"/>
    <w:rsid w:val="0068557A"/>
    <w:rsid w:val="00694144"/>
    <w:rsid w:val="006945F1"/>
    <w:rsid w:val="00694DBE"/>
    <w:rsid w:val="00695732"/>
    <w:rsid w:val="00696968"/>
    <w:rsid w:val="006A2048"/>
    <w:rsid w:val="006A7429"/>
    <w:rsid w:val="006A776E"/>
    <w:rsid w:val="006B42AD"/>
    <w:rsid w:val="006C01CD"/>
    <w:rsid w:val="006C227F"/>
    <w:rsid w:val="006C3D40"/>
    <w:rsid w:val="006C6217"/>
    <w:rsid w:val="006D09A6"/>
    <w:rsid w:val="006E516E"/>
    <w:rsid w:val="006F1C86"/>
    <w:rsid w:val="006F59E4"/>
    <w:rsid w:val="006F7675"/>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802AC"/>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11EE"/>
    <w:rsid w:val="007F2F53"/>
    <w:rsid w:val="007F3BFF"/>
    <w:rsid w:val="007F4969"/>
    <w:rsid w:val="007F760F"/>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73C0"/>
    <w:rsid w:val="008D763B"/>
    <w:rsid w:val="008D7CC2"/>
    <w:rsid w:val="008E4268"/>
    <w:rsid w:val="008E4D91"/>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529D9"/>
    <w:rsid w:val="00961769"/>
    <w:rsid w:val="00964E7D"/>
    <w:rsid w:val="00967899"/>
    <w:rsid w:val="009713CF"/>
    <w:rsid w:val="00971EC6"/>
    <w:rsid w:val="0097228B"/>
    <w:rsid w:val="00987C71"/>
    <w:rsid w:val="00990CB6"/>
    <w:rsid w:val="00991DEF"/>
    <w:rsid w:val="00992D6B"/>
    <w:rsid w:val="009A37DE"/>
    <w:rsid w:val="009A7A75"/>
    <w:rsid w:val="009B2160"/>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33143"/>
    <w:rsid w:val="00A41948"/>
    <w:rsid w:val="00A442CE"/>
    <w:rsid w:val="00A473B1"/>
    <w:rsid w:val="00A5323C"/>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04A7"/>
    <w:rsid w:val="00B14D68"/>
    <w:rsid w:val="00B17C85"/>
    <w:rsid w:val="00B212AA"/>
    <w:rsid w:val="00B240B2"/>
    <w:rsid w:val="00B256C7"/>
    <w:rsid w:val="00B27C49"/>
    <w:rsid w:val="00B32E35"/>
    <w:rsid w:val="00B32F3D"/>
    <w:rsid w:val="00B37F0C"/>
    <w:rsid w:val="00B51F0C"/>
    <w:rsid w:val="00B64909"/>
    <w:rsid w:val="00B6779F"/>
    <w:rsid w:val="00B71BBA"/>
    <w:rsid w:val="00B73CED"/>
    <w:rsid w:val="00B74C67"/>
    <w:rsid w:val="00B77989"/>
    <w:rsid w:val="00B864FE"/>
    <w:rsid w:val="00B91C22"/>
    <w:rsid w:val="00B94EB9"/>
    <w:rsid w:val="00B95089"/>
    <w:rsid w:val="00B95365"/>
    <w:rsid w:val="00B9546E"/>
    <w:rsid w:val="00BA53BA"/>
    <w:rsid w:val="00BA6AD6"/>
    <w:rsid w:val="00BB0205"/>
    <w:rsid w:val="00BB2907"/>
    <w:rsid w:val="00BB3456"/>
    <w:rsid w:val="00BB4C69"/>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4C9F"/>
    <w:rsid w:val="00C35AFF"/>
    <w:rsid w:val="00C474D6"/>
    <w:rsid w:val="00C552F6"/>
    <w:rsid w:val="00C55978"/>
    <w:rsid w:val="00C56063"/>
    <w:rsid w:val="00C611AF"/>
    <w:rsid w:val="00C758CC"/>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9FA"/>
    <w:rsid w:val="00E25AD3"/>
    <w:rsid w:val="00E30D46"/>
    <w:rsid w:val="00E3146A"/>
    <w:rsid w:val="00E34491"/>
    <w:rsid w:val="00E35EBE"/>
    <w:rsid w:val="00E40FF8"/>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5C8E"/>
    <w:rsid w:val="00EE00BE"/>
    <w:rsid w:val="00EF412A"/>
    <w:rsid w:val="00EF6403"/>
    <w:rsid w:val="00F0064C"/>
    <w:rsid w:val="00F06663"/>
    <w:rsid w:val="00F07C5D"/>
    <w:rsid w:val="00F07CF8"/>
    <w:rsid w:val="00F13A7F"/>
    <w:rsid w:val="00F15F11"/>
    <w:rsid w:val="00F2628E"/>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87F02"/>
    <w:rsid w:val="00F974B0"/>
    <w:rsid w:val="00FA036E"/>
    <w:rsid w:val="00FB750B"/>
    <w:rsid w:val="00FC1D55"/>
    <w:rsid w:val="00FC6FBE"/>
    <w:rsid w:val="00FC6FCF"/>
    <w:rsid w:val="00FC7421"/>
    <w:rsid w:val="00FD326D"/>
    <w:rsid w:val="00FD3A4D"/>
    <w:rsid w:val="00FD400E"/>
    <w:rsid w:val="00FE165C"/>
    <w:rsid w:val="00FE30D0"/>
    <w:rsid w:val="00FE5274"/>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393B51D"/>
  <w15:docId w15:val="{70BFA70F-9CC8-4A47-8B8A-58815B1E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 w:type="character" w:customStyle="1" w:styleId="markedcontent">
    <w:name w:val="markedcontent"/>
    <w:basedOn w:val="Absatz-Standardschriftart"/>
    <w:rsid w:val="00FD4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GPK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0E8D-3703-48F7-ACEC-8E4E20F9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Template>
  <TotalTime>0</TotalTime>
  <Pages>6</Pages>
  <Words>1751</Words>
  <Characters>11651</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9</cp:revision>
  <cp:lastPrinted>2023-02-01T08:16:00Z</cp:lastPrinted>
  <dcterms:created xsi:type="dcterms:W3CDTF">2023-01-26T15:25:00Z</dcterms:created>
  <dcterms:modified xsi:type="dcterms:W3CDTF">2023-02-01T08:16:00Z</dcterms:modified>
  <cp:contentStatus/>
</cp:coreProperties>
</file>